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F732A" w:rsidRDefault="00000000">
      <w:pPr>
        <w:pStyle w:val="Heading1"/>
      </w:pPr>
      <w:bookmarkStart w:id="0" w:name="pmd-heading-4a0fcfe2-e0b3-4df1-9b40-aa32"/>
      <w:r>
        <w:t>Single Payer-Case Negative-Preason-8-23-2026-PolyPrep</w:t>
      </w:r>
      <w:bookmarkEnd w:id="0"/>
    </w:p>
    <w:p w:rsidR="001F732A" w:rsidRDefault="00000000">
      <w:pPr>
        <w:pStyle w:val="Heading2"/>
      </w:pPr>
      <w:bookmarkStart w:id="1" w:name="pmd-heading-a78cc3fa-c395-47f9-a54e-8ee8"/>
      <w:r>
        <w:lastRenderedPageBreak/>
        <w:t>AT: Cost Advantage</w:t>
      </w:r>
      <w:bookmarkEnd w:id="1"/>
    </w:p>
    <w:p w:rsidR="001F732A" w:rsidRDefault="00000000">
      <w:pPr>
        <w:pStyle w:val="Heading3"/>
      </w:pPr>
      <w:bookmarkStart w:id="2" w:name="pmd-heading-78b92308-fa8b-430d-b2b6-a14c"/>
      <w:r>
        <w:lastRenderedPageBreak/>
        <w:t>1NC - Cost Advantage</w:t>
      </w:r>
      <w:bookmarkEnd w:id="2"/>
    </w:p>
    <w:p w:rsidR="001F732A" w:rsidRDefault="00000000">
      <w:pPr>
        <w:pStyle w:val="Heading4"/>
      </w:pPr>
      <w:bookmarkStart w:id="3" w:name="pmd-heading-861c3c33-6bfe-430b-8881-d19c"/>
      <w:r>
        <w:t>1. Costs are declining due to innovation and improved population health.</w:t>
      </w:r>
      <w:bookmarkEnd w:id="3"/>
    </w:p>
    <w:p w:rsidR="001F732A" w:rsidRDefault="00000000">
      <w:r>
        <w:rPr>
          <w:rStyle w:val="Style13ptBold"/>
        </w:rPr>
        <w:t xml:space="preserve">Cutler, Harvard Professor of Applied Economics, and </w:t>
      </w:r>
      <w:proofErr w:type="spellStart"/>
      <w:r>
        <w:rPr>
          <w:rStyle w:val="Style13ptBold"/>
        </w:rPr>
        <w:t>Klarnet</w:t>
      </w:r>
      <w:proofErr w:type="spellEnd"/>
      <w:r>
        <w:rPr>
          <w:rStyle w:val="Style13ptBold"/>
        </w:rPr>
        <w:t>, Harvard Researcher, 26</w:t>
      </w:r>
    </w:p>
    <w:p w:rsidR="001F732A" w:rsidRDefault="00000000">
      <w:r>
        <w:t>[David M., Lev, 03/2026, Brookings Institute, “Has the United States Bent the Health Care Cost Curve?” Brookings Papers on Economic Activity,</w:t>
      </w:r>
      <w:hyperlink r:id="rId5" w:history="1">
        <w:r>
          <w:t>https://www.brookings.edu/wp-content/uploads/2026/03/5_Cutler-Klarnet_unembargoed.pdf</w:t>
        </w:r>
      </w:hyperlink>
      <w:r>
        <w:rPr>
          <w:sz w:val="14"/>
          <w:szCs w:val="14"/>
        </w:rPr>
        <w:t xml:space="preserve"> </w:t>
      </w:r>
      <w:r>
        <w:t xml:space="preserve"> //</w:t>
      </w:r>
      <w:proofErr w:type="spellStart"/>
      <w:r>
        <w:t>PolyPrep</w:t>
      </w:r>
      <w:proofErr w:type="spellEnd"/>
      <w:r>
        <w:t xml:space="preserve"> AD]</w:t>
      </w:r>
    </w:p>
    <w:p w:rsidR="001F732A" w:rsidRDefault="001F732A"/>
    <w:p w:rsidR="001F732A" w:rsidRDefault="00000000">
      <w:r>
        <w:t xml:space="preserve">Figure 16 summarizes the results of the previous three sections. Considering all types of spending, </w:t>
      </w:r>
      <w:r>
        <w:rPr>
          <w:rStyle w:val="StyleUnderline"/>
          <w:highlight w:val="yellow"/>
        </w:rPr>
        <w:t>five factors are important in the slowdown in spending. The first is technology</w:t>
      </w:r>
      <w:r>
        <w:rPr>
          <w:rStyle w:val="StyleUnderline"/>
        </w:rPr>
        <w:t>-associated changes in health and site of care.</w:t>
      </w:r>
      <w:r>
        <w:t xml:space="preserve"> These correspond to the subsequent innovations in our model. Together, technologies along these lines account for 21% of the overall cost slowdown and double that in Medicare. </w:t>
      </w:r>
    </w:p>
    <w:p w:rsidR="001F732A" w:rsidRDefault="00000000">
      <w:r>
        <w:rPr>
          <w:rStyle w:val="StyleUnderline"/>
          <w:highlight w:val="yellow"/>
        </w:rPr>
        <w:t>Second, long-run supply is more elastic than short-run</w:t>
      </w:r>
      <w:r>
        <w:rPr>
          <w:rStyle w:val="StyleUnderline"/>
        </w:rPr>
        <w:t xml:space="preserve"> supply, and this lowers spending over time</w:t>
      </w:r>
      <w:r>
        <w:t>. This is particularly apparent in the impact of patent expiration for pharmaceuticals and in relative declines in imaging reimbursement. We estimate that greater long-run supply explains 6% of the spending slowdown.</w:t>
      </w:r>
    </w:p>
    <w:p w:rsidR="001F732A" w:rsidRDefault="00000000">
      <w:r>
        <w:rPr>
          <w:rStyle w:val="StyleUnderline"/>
          <w:highlight w:val="yellow"/>
        </w:rPr>
        <w:t>Third</w:t>
      </w:r>
      <w:r>
        <w:rPr>
          <w:rStyle w:val="StyleUnderline"/>
        </w:rPr>
        <w:t>,</w:t>
      </w:r>
      <w:r>
        <w:t xml:space="preserve"> a </w:t>
      </w:r>
      <w:r>
        <w:rPr>
          <w:rStyle w:val="StyleUnderline"/>
        </w:rPr>
        <w:t xml:space="preserve">variety of </w:t>
      </w:r>
      <w:r>
        <w:rPr>
          <w:rStyle w:val="StyleUnderline"/>
          <w:highlight w:val="yellow"/>
        </w:rPr>
        <w:t>market changes</w:t>
      </w:r>
      <w:r>
        <w:rPr>
          <w:rStyle w:val="StyleUnderline"/>
        </w:rPr>
        <w:t xml:space="preserve"> contribute to reduced and more elastic demand, including increased cost sharing paid by consumers, physicians not paid as much for using technologies, and insurers imposing restrictions on technology use.</w:t>
      </w:r>
      <w:r>
        <w:t xml:space="preserve"> We do not have a precise estimate of the impact of each of these factors, but a rough guess is that they account for 11% to 27% of the spending slowdown. The lower end includes just services we measure directly; the upper end is taken from studies of the impact of reimbursement changes. </w:t>
      </w:r>
    </w:p>
    <w:p w:rsidR="001F732A" w:rsidRDefault="00000000">
      <w:r>
        <w:rPr>
          <w:rStyle w:val="StyleUnderline"/>
          <w:highlight w:val="yellow"/>
        </w:rPr>
        <w:t>Fourth, the population is healthier</w:t>
      </w:r>
      <w:r>
        <w:rPr>
          <w:rStyle w:val="StyleUnderline"/>
        </w:rPr>
        <w:t xml:space="preserve"> in ways that reduce spending</w:t>
      </w:r>
      <w:r>
        <w:t xml:space="preserve">. This includes fewer hospitalizations for smoking-related conditions and reduced need for formal home health care. The birth rate has fallen as well, which is not a statement about population health but is functionally similar in reducing the need for care. We estimate improved population health explains 7% of the spending slowdown. </w:t>
      </w:r>
    </w:p>
    <w:p w:rsidR="001F732A" w:rsidRDefault="00000000">
      <w:r>
        <w:rPr>
          <w:rStyle w:val="Emphasis"/>
          <w:highlight w:val="yellow"/>
        </w:rPr>
        <w:t>A major component is slower price growth</w:t>
      </w:r>
      <w:r>
        <w:t xml:space="preserve">. Net of upcoding, </w:t>
      </w:r>
      <w:r>
        <w:rPr>
          <w:rStyle w:val="StyleUnderline"/>
        </w:rPr>
        <w:t>we estimate lower price growth explains 24% of the spending slowdown</w:t>
      </w:r>
      <w:r>
        <w:t xml:space="preserve">. Some of this reduction is likely due to reduced and more elastic demand. That said, there is substantial uncertainty in this estimate due to data limitations and other ways providers can skirt price cuts.  </w:t>
      </w:r>
    </w:p>
    <w:p w:rsidR="001F732A" w:rsidRDefault="00000000">
      <w:r>
        <w:t xml:space="preserve">In light of these findings, the answer to the question we posed at the beginning of this paper – has the US bent the health care cost curve – is “Yes.” </w:t>
      </w:r>
      <w:r>
        <w:rPr>
          <w:rStyle w:val="StyleUnderline"/>
        </w:rPr>
        <w:t>The health care market has matured, and with that maturation comes a reduction in the rate at which spending increases.</w:t>
      </w:r>
      <w:r>
        <w:t xml:space="preserve"> </w:t>
      </w:r>
      <w:r>
        <w:rPr>
          <w:rStyle w:val="StyleUnderline"/>
        </w:rPr>
        <w:t>Technology is no longer as vital a driver of increased spending</w:t>
      </w:r>
      <w:r>
        <w:t xml:space="preserve">. In addition, </w:t>
      </w:r>
      <w:r>
        <w:rPr>
          <w:rStyle w:val="StyleUnderline"/>
        </w:rPr>
        <w:t>payers are better at fostering demand and supply conditions that lead to lower spending growth</w:t>
      </w:r>
      <w:r>
        <w:t xml:space="preserve">.  </w:t>
      </w:r>
    </w:p>
    <w:p w:rsidR="001F732A" w:rsidRDefault="00000000">
      <w:r>
        <w:t xml:space="preserve">While the health care cost curve has been bent, it likely has not been bent enough. Medical spending is still higher in the US than elsewhere, and health outcomes do not appear to justify that additional expense. Slower growth of medical costs helps with affordability, but it has not solved it. And a </w:t>
      </w:r>
      <w:r>
        <w:lastRenderedPageBreak/>
        <w:t xml:space="preserve">consequence of higher cost sharing and insurer restrictions is that even people who are insured find it increasingly difficult to access care.  </w:t>
      </w:r>
    </w:p>
    <w:p w:rsidR="001F732A" w:rsidRDefault="00000000">
      <w:r>
        <w:t xml:space="preserve">As best we can determine, </w:t>
      </w:r>
      <w:r>
        <w:rPr>
          <w:rStyle w:val="StyleUnderline"/>
        </w:rPr>
        <w:t>much of the spending slowdown was not associated with worse outcomes</w:t>
      </w:r>
      <w:r>
        <w:t xml:space="preserve">. Indeed, </w:t>
      </w:r>
      <w:r>
        <w:rPr>
          <w:rStyle w:val="StyleUnderline"/>
        </w:rPr>
        <w:t>the technology</w:t>
      </w:r>
      <w:r>
        <w:t xml:space="preserve">-associated </w:t>
      </w:r>
      <w:r>
        <w:rPr>
          <w:rStyle w:val="StyleUnderline"/>
        </w:rPr>
        <w:t>component is associated with improved health</w:t>
      </w:r>
      <w:r>
        <w:t xml:space="preserve">. That said, we do not look at the health implications of all service reductions, and some other evidence shows that </w:t>
      </w:r>
      <w:proofErr w:type="gramStart"/>
      <w:r>
        <w:t>high cost</w:t>
      </w:r>
      <w:proofErr w:type="gramEnd"/>
      <w:r>
        <w:t xml:space="preserve"> sharing insurance plans and insurance market restrictions have had some adverse effects on health. More work on this would be valuable. </w:t>
      </w:r>
    </w:p>
    <w:p w:rsidR="001F732A" w:rsidRDefault="00000000">
      <w:r>
        <w:t>Looking forward, a key issue in how much the cost curve will bend is how the pace and cost of new technologies changes</w:t>
      </w:r>
      <w:r>
        <w:rPr>
          <w:rStyle w:val="StyleUnderline"/>
        </w:rPr>
        <w:t xml:space="preserve">. </w:t>
      </w:r>
      <w:r>
        <w:rPr>
          <w:rStyle w:val="StyleUnderline"/>
          <w:highlight w:val="yellow"/>
        </w:rPr>
        <w:t xml:space="preserve">If we develop more cost-saving technologies, the </w:t>
      </w:r>
      <w:r>
        <w:rPr>
          <w:rStyle w:val="Emphasis"/>
          <w:highlight w:val="yellow"/>
        </w:rPr>
        <w:t>impact on spending could be</w:t>
      </w:r>
      <w:r>
        <w:rPr>
          <w:rStyle w:val="StyleUnderline"/>
          <w:highlight w:val="yellow"/>
        </w:rPr>
        <w:t xml:space="preserve"> </w:t>
      </w:r>
      <w:r>
        <w:rPr>
          <w:rStyle w:val="Emphasis"/>
          <w:highlight w:val="yellow"/>
        </w:rPr>
        <w:t>large</w:t>
      </w:r>
      <w:r>
        <w:t xml:space="preserve">. Similarly, </w:t>
      </w:r>
      <w:r>
        <w:rPr>
          <w:rStyle w:val="StyleUnderline"/>
        </w:rPr>
        <w:t xml:space="preserve">if the cost of developing new therapeutic advances falls, there will be more product entry and prices will be </w:t>
      </w:r>
      <w:r>
        <w:rPr>
          <w:rStyle w:val="Emphasis"/>
        </w:rPr>
        <w:t>bid down</w:t>
      </w:r>
      <w:r>
        <w:t xml:space="preserve"> or could be more readily lowered when set administratively. There is some speculation that artificial intelligence could reduce costs, by substituting cheaper computer technology for more expensive people. It might also be an input into a new wave of less expensive medical cures. Whether this will occur or not is not known. But if it does, it could have profound implications for the trajectory of health care spending.</w:t>
      </w:r>
      <w:r>
        <w:rPr>
          <w:sz w:val="14"/>
          <w:szCs w:val="14"/>
        </w:rPr>
        <w:t xml:space="preserve"> </w:t>
      </w:r>
    </w:p>
    <w:p w:rsidR="001F732A" w:rsidRDefault="00000000">
      <w:pPr>
        <w:pStyle w:val="Heading4"/>
      </w:pPr>
      <w:bookmarkStart w:id="4" w:name="pmd-heading-7a3bbe75-1af0-4ae9-9aed-4981"/>
      <w:r>
        <w:t>2. Debt to GDP ratio does not predict economic decline.</w:t>
      </w:r>
      <w:bookmarkEnd w:id="4"/>
    </w:p>
    <w:p w:rsidR="001F732A" w:rsidRDefault="00000000">
      <w:r>
        <w:rPr>
          <w:rStyle w:val="Style13ptBold"/>
        </w:rPr>
        <w:t>Berk, Stanford Graduate School of Business Professor of Finance, 25</w:t>
      </w:r>
    </w:p>
    <w:p w:rsidR="001F732A" w:rsidRDefault="00000000">
      <w:r>
        <w:t>*Interview questions indicated by bolding.</w:t>
      </w:r>
    </w:p>
    <w:p w:rsidR="001F732A" w:rsidRDefault="00000000">
      <w:r>
        <w:t xml:space="preserve">[Jonathan interviewed by Alexander Gelfand, 12/12/2025, Insights by Stanford </w:t>
      </w:r>
      <w:proofErr w:type="gramStart"/>
      <w:r>
        <w:t>Business,  "</w:t>
      </w:r>
      <w:proofErr w:type="gramEnd"/>
      <w:r>
        <w:t>What If We’re Looking at the National Debt All Wrong?", https://www.gsb.stanford.edu/insights/what-if-were-looking-national-debt-all-wrong //</w:t>
      </w:r>
      <w:proofErr w:type="spellStart"/>
      <w:r>
        <w:t>PolyPrep</w:t>
      </w:r>
      <w:proofErr w:type="spellEnd"/>
      <w:r>
        <w:t xml:space="preserve"> AD]</w:t>
      </w:r>
    </w:p>
    <w:p w:rsidR="001F732A" w:rsidRDefault="001F732A"/>
    <w:p w:rsidR="001F732A" w:rsidRDefault="00000000">
      <w:r>
        <w:rPr>
          <w:b/>
        </w:rPr>
        <w:t xml:space="preserve">Q: Yet </w:t>
      </w:r>
      <w:r>
        <w:rPr>
          <w:rStyle w:val="StyleUnderline"/>
          <w:b/>
          <w:highlight w:val="yellow"/>
        </w:rPr>
        <w:t>high levels of debt-to-GDP are</w:t>
      </w:r>
      <w:r>
        <w:rPr>
          <w:b/>
        </w:rPr>
        <w:t xml:space="preserve"> now </w:t>
      </w:r>
      <w:r>
        <w:rPr>
          <w:rStyle w:val="StyleUnderline"/>
          <w:b/>
          <w:highlight w:val="yellow"/>
        </w:rPr>
        <w:t>seen as a harbinger of economic decline</w:t>
      </w:r>
      <w:r>
        <w:rPr>
          <w:b/>
        </w:rPr>
        <w:t xml:space="preserve"> and government default. Economists and policymakers have been ringing alarm bells over the debt-to-GDP ratio for the U.S., which has tripled from 40% to 120% over the past several decades.</w:t>
      </w:r>
    </w:p>
    <w:p w:rsidR="001F732A" w:rsidRDefault="00000000">
      <w:r>
        <w:t xml:space="preserve">A: </w:t>
      </w:r>
      <w:r>
        <w:rPr>
          <w:rStyle w:val="StyleUnderline"/>
        </w:rPr>
        <w:t>It’s now at an all-time high,</w:t>
      </w:r>
      <w:r>
        <w:t xml:space="preserve"> which you would think should be alarming. </w:t>
      </w:r>
      <w:r>
        <w:rPr>
          <w:rStyle w:val="StyleUnderline"/>
          <w:highlight w:val="yellow"/>
        </w:rPr>
        <w:t>Yet we’re borrowing at low interest rates and the stock market is up</w:t>
      </w:r>
      <w:r>
        <w:rPr>
          <w:rStyle w:val="StyleUnderline"/>
        </w:rPr>
        <w:t>, not down.</w:t>
      </w:r>
      <w:r>
        <w:t xml:space="preserve"> </w:t>
      </w:r>
      <w:proofErr w:type="gramStart"/>
      <w:r>
        <w:t>So</w:t>
      </w:r>
      <w:proofErr w:type="gramEnd"/>
      <w:r>
        <w:t xml:space="preserve"> you have to ask the question: Wait a minute, why is it that the government, with such a crazy level of debt-to-GDP, can still borrow at relatively low interest rates? That tells you the market doesn’t seem as concerned. </w:t>
      </w:r>
      <w:r>
        <w:rPr>
          <w:rStyle w:val="StyleUnderline"/>
          <w:highlight w:val="yellow"/>
        </w:rPr>
        <w:t>If the market thought we were going to default</w:t>
      </w:r>
      <w:r>
        <w:t xml:space="preserve"> on our debt, then </w:t>
      </w:r>
      <w:r>
        <w:rPr>
          <w:rStyle w:val="StyleUnderline"/>
          <w:highlight w:val="yellow"/>
        </w:rPr>
        <w:t>the market value of equity wouldn’t be high</w:t>
      </w:r>
      <w:r>
        <w:t xml:space="preserve"> and interest rates wouldn’t be low.</w:t>
      </w:r>
    </w:p>
    <w:p w:rsidR="001F732A" w:rsidRDefault="00000000">
      <w:r>
        <w:rPr>
          <w:b/>
        </w:rPr>
        <w:t xml:space="preserve">Q: You point to the example of Japan versus Argentina: </w:t>
      </w:r>
      <w:r>
        <w:rPr>
          <w:rStyle w:val="StyleUnderline"/>
          <w:b/>
          <w:highlight w:val="yellow"/>
        </w:rPr>
        <w:t>Japan has a debt-to-GDP ratio of 250%,</w:t>
      </w:r>
      <w:r>
        <w:rPr>
          <w:b/>
        </w:rPr>
        <w:t xml:space="preserve"> but no one worries about it defaulting. Meanwhile, </w:t>
      </w:r>
      <w:r>
        <w:rPr>
          <w:rStyle w:val="StyleUnderline"/>
          <w:b/>
          <w:highlight w:val="yellow"/>
        </w:rPr>
        <w:t>Argentina has a history of defaulting</w:t>
      </w:r>
      <w:r>
        <w:rPr>
          <w:b/>
        </w:rPr>
        <w:t xml:space="preserve"> at much lower levels.</w:t>
      </w:r>
    </w:p>
    <w:p w:rsidR="001F732A" w:rsidRDefault="00000000">
      <w:r>
        <w:t xml:space="preserve">A: </w:t>
      </w:r>
      <w:r>
        <w:rPr>
          <w:rStyle w:val="StyleUnderline"/>
        </w:rPr>
        <w:t xml:space="preserve">Yes, </w:t>
      </w:r>
      <w:r>
        <w:rPr>
          <w:rStyle w:val="StyleUnderline"/>
          <w:highlight w:val="yellow"/>
        </w:rPr>
        <w:t xml:space="preserve">at a level of 40% debt-to-GDP. </w:t>
      </w:r>
      <w:proofErr w:type="gramStart"/>
      <w:r>
        <w:rPr>
          <w:rStyle w:val="StyleUnderline"/>
          <w:highlight w:val="yellow"/>
        </w:rPr>
        <w:t>So</w:t>
      </w:r>
      <w:proofErr w:type="gramEnd"/>
      <w:r>
        <w:rPr>
          <w:rStyle w:val="StyleUnderline"/>
          <w:highlight w:val="yellow"/>
        </w:rPr>
        <w:t xml:space="preserve"> there’s something</w:t>
      </w:r>
      <w:r>
        <w:rPr>
          <w:rStyle w:val="StyleUnderline"/>
        </w:rPr>
        <w:t xml:space="preserve"> fundamental about </w:t>
      </w:r>
      <w:r>
        <w:rPr>
          <w:rStyle w:val="StyleUnderline"/>
          <w:highlight w:val="yellow"/>
        </w:rPr>
        <w:t>the debt-to-GDP ratio that is not getting things right.</w:t>
      </w:r>
    </w:p>
    <w:p w:rsidR="001F732A" w:rsidRDefault="00000000">
      <w:pPr>
        <w:pStyle w:val="Heading4"/>
      </w:pPr>
      <w:bookmarkStart w:id="5" w:name="pmd-heading-6e5f675c-b410-4369-8235-33ca"/>
      <w:r>
        <w:t xml:space="preserve">3. Debt won’t undermine military power. China and Russia have it much worse. </w:t>
      </w:r>
      <w:bookmarkEnd w:id="5"/>
    </w:p>
    <w:p w:rsidR="001F732A" w:rsidRDefault="00000000">
      <w:r>
        <w:rPr>
          <w:rStyle w:val="Style13ptBold"/>
        </w:rPr>
        <w:t>Mohan, Jindal Global University Professor of American Studies, 26</w:t>
      </w:r>
    </w:p>
    <w:p w:rsidR="001F732A" w:rsidRDefault="001F732A"/>
    <w:p w:rsidR="001F732A" w:rsidRDefault="00000000">
      <w:r>
        <w:t>[C. Raja, March/April 2026, Foreign Affairs, “The Multipolar Delusion And the Unilateral Temptation”</w:t>
      </w:r>
      <w:hyperlink r:id="rId6" w:history="1">
        <w:r>
          <w:t>https://chronicleclub.in/storage/uploads/1772214444-foreign-affairs-march-april-2026.pdf</w:t>
        </w:r>
      </w:hyperlink>
      <w:r>
        <w:rPr>
          <w:sz w:val="14"/>
          <w:szCs w:val="14"/>
        </w:rPr>
        <w:t xml:space="preserve">, </w:t>
      </w:r>
      <w:r>
        <w:t>//</w:t>
      </w:r>
      <w:proofErr w:type="spellStart"/>
      <w:r>
        <w:t>PolyPrep</w:t>
      </w:r>
      <w:proofErr w:type="spellEnd"/>
      <w:r>
        <w:t xml:space="preserve"> AD]</w:t>
      </w:r>
    </w:p>
    <w:p w:rsidR="001F732A" w:rsidRDefault="001F732A"/>
    <w:p w:rsidR="001F732A" w:rsidRDefault="00000000">
      <w:r>
        <w:rPr>
          <w:rStyle w:val="StyleUnderline"/>
        </w:rPr>
        <w:t>Constraints on American power</w:t>
      </w:r>
      <w:r>
        <w:t>—</w:t>
      </w:r>
      <w:r>
        <w:rPr>
          <w:rStyle w:val="Emphasis"/>
          <w:highlight w:val="yellow"/>
        </w:rPr>
        <w:t>high national debt</w:t>
      </w:r>
      <w:r>
        <w:t>, domestic political division, frictions with U.S. allies, and resentment against U.S. policies in the so-called global South—</w:t>
      </w:r>
      <w:r>
        <w:rPr>
          <w:rStyle w:val="StyleUnderline"/>
        </w:rPr>
        <w:t xml:space="preserve">are real and growing, but they </w:t>
      </w:r>
      <w:r>
        <w:rPr>
          <w:rStyle w:val="StyleUnderline"/>
          <w:highlight w:val="yellow"/>
        </w:rPr>
        <w:t>do not negate the United States’ position</w:t>
      </w:r>
      <w:r>
        <w:rPr>
          <w:rStyle w:val="StyleUnderline"/>
        </w:rPr>
        <w:t xml:space="preserve"> as the only credible pole in the system</w:t>
      </w:r>
      <w:r>
        <w:t xml:space="preserve">. Even Trump’s threats to cut the funding of domestic universities and research agencies, for instance, are unlikely to destroy their preeminence. The depth of the U.S. private sector and the strength of its civil society limit the damage that any president can cause. And the United States’ enviable geography, which includes ample natural resources and physical distance from the Eurasian landmass that has long been the main theater of global conflict, gives the United States a large margin of error in its foreign policy choices. </w:t>
      </w:r>
    </w:p>
    <w:p w:rsidR="001F732A" w:rsidRDefault="00000000">
      <w:r>
        <w:rPr>
          <w:rStyle w:val="StyleUnderline"/>
        </w:rPr>
        <w:t>Many analysts argue that the world is evolving toward bipolarity as China continues to rise</w:t>
      </w:r>
      <w:r>
        <w:t>. In its 2025 National Security Strategy, for instance, the United States acknowledged that China is a “near peer.” China has become a major economic and technological power: its economy has reached about two-thirds the size of that of the United States, its nuclear arsenal is estimated to have tripled in size since 2020, and it is building up its military to counter U.S. influence along the first island chain stretching from Japan to the Philippines in the western Pacific.</w:t>
      </w:r>
    </w:p>
    <w:p w:rsidR="001F732A" w:rsidRDefault="00000000">
      <w:r>
        <w:rPr>
          <w:rStyle w:val="StyleUnderline"/>
        </w:rPr>
        <w:t xml:space="preserve">Yet </w:t>
      </w:r>
      <w:r>
        <w:rPr>
          <w:rStyle w:val="StyleUnderline"/>
          <w:highlight w:val="yellow"/>
        </w:rPr>
        <w:t>China remains some distance from being a true pole</w:t>
      </w:r>
      <w:r>
        <w:rPr>
          <w:rStyle w:val="StyleUnderline"/>
        </w:rPr>
        <w:t xml:space="preserve"> in the international order. Its </w:t>
      </w:r>
      <w:r>
        <w:rPr>
          <w:rStyle w:val="StyleUnderline"/>
          <w:highlight w:val="yellow"/>
        </w:rPr>
        <w:t>growth rate is slowing</w:t>
      </w:r>
      <w:r>
        <w:rPr>
          <w:rStyle w:val="StyleUnderline"/>
        </w:rPr>
        <w:t xml:space="preserve"> and is likely to </w:t>
      </w:r>
      <w:proofErr w:type="gramStart"/>
      <w:r>
        <w:rPr>
          <w:rStyle w:val="StyleUnderline"/>
        </w:rPr>
        <w:t>slow  even</w:t>
      </w:r>
      <w:proofErr w:type="gramEnd"/>
      <w:r>
        <w:rPr>
          <w:rStyle w:val="StyleUnderline"/>
        </w:rPr>
        <w:t xml:space="preserve"> further because of demographic decline and the outsize role of state-owned enterprises in its economy</w:t>
      </w:r>
      <w:r>
        <w:t xml:space="preserve">. </w:t>
      </w:r>
      <w:r>
        <w:rPr>
          <w:rStyle w:val="StyleUnderline"/>
          <w:highlight w:val="yellow"/>
        </w:rPr>
        <w:t>Its currency lacks global reach</w:t>
      </w:r>
      <w:r>
        <w:rPr>
          <w:rStyle w:val="StyleUnderline"/>
        </w:rPr>
        <w:t>: few international transactions are conducted in renminbi because of strict capital controls and a lack of financial transparency</w:t>
      </w:r>
      <w:r>
        <w:t xml:space="preserve">. </w:t>
      </w:r>
      <w:r>
        <w:rPr>
          <w:rStyle w:val="StyleUnderline"/>
          <w:highlight w:val="yellow"/>
        </w:rPr>
        <w:t>China’s military</w:t>
      </w:r>
      <w:r>
        <w:rPr>
          <w:rStyle w:val="StyleUnderline"/>
        </w:rPr>
        <w:t xml:space="preserve"> has strengthened its position in East Asia but </w:t>
      </w:r>
      <w:r>
        <w:rPr>
          <w:rStyle w:val="StyleUnderline"/>
          <w:highlight w:val="yellow"/>
        </w:rPr>
        <w:t>lacks the logistics networks, access to bases, and alliances required to project power worldwide</w:t>
      </w:r>
      <w:r>
        <w:rPr>
          <w:highlight w:val="yellow"/>
        </w:rPr>
        <w:t>.</w:t>
      </w:r>
      <w:r>
        <w:t xml:space="preserve"> And its much-heralded development programs, most notably the Belt and Road Initiative and the Asian Infrastructure Investment Bank, have supplemented rather than replaced U.S.-anchored global governance institutions such as the World Bank. </w:t>
      </w:r>
    </w:p>
    <w:p w:rsidR="001F732A" w:rsidRDefault="00000000">
      <w:r>
        <w:rPr>
          <w:rStyle w:val="StyleUnderline"/>
          <w:highlight w:val="yellow"/>
        </w:rPr>
        <w:t>Russia</w:t>
      </w:r>
      <w:r>
        <w:rPr>
          <w:rStyle w:val="StyleUnderline"/>
        </w:rPr>
        <w:t>,</w:t>
      </w:r>
      <w:r>
        <w:t xml:space="preserve"> often portrayed as a cornerstone of multipolarity, </w:t>
      </w:r>
      <w:r>
        <w:rPr>
          <w:rStyle w:val="StyleUnderline"/>
          <w:highlight w:val="yellow"/>
        </w:rPr>
        <w:t>possesses even fewer of the attributes required to shape the international system</w:t>
      </w:r>
      <w:r>
        <w:rPr>
          <w:highlight w:val="yellow"/>
        </w:rPr>
        <w:t>.</w:t>
      </w:r>
      <w:r>
        <w:t xml:space="preserve"> Although it has nuclear weapons and a good deal of conventional military power, </w:t>
      </w:r>
      <w:r>
        <w:rPr>
          <w:rStyle w:val="StyleUnderline"/>
        </w:rPr>
        <w:t>its economy is narrowly dependent on natural resources, it has fallen far behind in developing emerging technologies</w:t>
      </w:r>
      <w:r>
        <w:t xml:space="preserve"> such as artificial intelligence and robotics, </w:t>
      </w:r>
      <w:r>
        <w:rPr>
          <w:rStyle w:val="StyleUnderline"/>
        </w:rPr>
        <w:t>and,</w:t>
      </w:r>
      <w:r>
        <w:t xml:space="preserve"> like China, it </w:t>
      </w:r>
      <w:r>
        <w:rPr>
          <w:rStyle w:val="StyleUnderline"/>
        </w:rPr>
        <w:t>faces a declining population. The European Union, another potential pole, has economic clout but remains politically divided and dependent on the United States for its security.</w:t>
      </w:r>
      <w:r>
        <w:t xml:space="preserve"> Europe is now trying to make amends by ramping up defense spending, but even in the best-case scenario, it will have to rely on U.S. military power for many years to come.</w:t>
      </w:r>
    </w:p>
    <w:p w:rsidR="001F732A" w:rsidRDefault="00000000">
      <w:r>
        <w:t xml:space="preserve">The so-called middle powers—Brazil, India, Indonesia, Saudi Arabia, and Turkey—are growing in economic weight and regional political influence, and are increasingly represented in global forums such as the G-20. Yet influence does not confer pole status. India, which has the size and potential to become a great power in the long term, has a per capita </w:t>
      </w:r>
      <w:proofErr w:type="spellStart"/>
      <w:r>
        <w:t>gdp</w:t>
      </w:r>
      <w:proofErr w:type="spellEnd"/>
      <w:r>
        <w:t xml:space="preserve"> of less than $3,000 (compared with about $85,000 in the United States). It faces deepening political divides and suffers from weak institutions, </w:t>
      </w:r>
      <w:r>
        <w:lastRenderedPageBreak/>
        <w:t>underdeveloped human resources, and entrenched bureaucratic resistance, all of which have stymied reforms to accelerate economic growth and improve governance. Facing conflict with Pakistan on one border and tensions with China on another, India will still need an economic and security partnership with the United States and its allies for the time being.</w:t>
      </w:r>
    </w:p>
    <w:p w:rsidR="001F732A" w:rsidRDefault="00000000">
      <w:r>
        <w:rPr>
          <w:rStyle w:val="StyleUnderline"/>
        </w:rPr>
        <w:t>Efforts to build countervailing coalitions to the United States have also faltered</w:t>
      </w:r>
      <w:r>
        <w:t xml:space="preserve">. Despite </w:t>
      </w:r>
      <w:r>
        <w:rPr>
          <w:rStyle w:val="StyleUnderline"/>
          <w:highlight w:val="yellow"/>
        </w:rPr>
        <w:t>China’s and Russia’s</w:t>
      </w:r>
      <w:r>
        <w:t xml:space="preserve"> claims that they have a “no limits” partnership, their </w:t>
      </w:r>
      <w:r>
        <w:rPr>
          <w:rStyle w:val="StyleUnderline"/>
          <w:highlight w:val="yellow"/>
        </w:rPr>
        <w:t>relationship rests on uneasy foundations and is shaped by historical mistrust</w:t>
      </w:r>
      <w:r>
        <w:t xml:space="preserve"> and asymmetric dependence. In the early stages of the Cold War, the Soviet Union was the “elder brother” on which communist China depended for political support; now, Russia is the junior partner, heavily reliant on China for imports of industrial and dual-use goods—those valuable for both military and civilian purposes, such as machine tools— and as a market for its energy exports. </w:t>
      </w:r>
      <w:proofErr w:type="spellStart"/>
      <w:r>
        <w:t>Brics</w:t>
      </w:r>
      <w:proofErr w:type="spellEnd"/>
      <w:r>
        <w:t xml:space="preserve"> has also expanded, and the list of countries seeking to join is long. But </w:t>
      </w:r>
      <w:proofErr w:type="spellStart"/>
      <w:r>
        <w:rPr>
          <w:rStyle w:val="StyleUnderline"/>
        </w:rPr>
        <w:t>brics</w:t>
      </w:r>
      <w:proofErr w:type="spellEnd"/>
      <w:r>
        <w:rPr>
          <w:rStyle w:val="StyleUnderline"/>
        </w:rPr>
        <w:t xml:space="preserve"> is not a cohesive coalition, nor is it likely to position itself against the United States.</w:t>
      </w:r>
      <w:r>
        <w:t xml:space="preserve"> Instead, </w:t>
      </w:r>
      <w:r>
        <w:rPr>
          <w:rStyle w:val="StyleUnderline"/>
        </w:rPr>
        <w:t>most of its members are eager to strike deals to work with Washington</w:t>
      </w:r>
      <w:r>
        <w:t xml:space="preserve">. The inclusion of numerous pairs of regional rivals—India and China, Iran and Saudi Arabia, Egypt and Ethiopia—also limits the effectiveness of </w:t>
      </w:r>
      <w:proofErr w:type="spellStart"/>
      <w:r>
        <w:t>brics</w:t>
      </w:r>
      <w:proofErr w:type="spellEnd"/>
      <w:r>
        <w:t xml:space="preserve"> as a geopolitical tool to pursue any particular strategic objective.</w:t>
      </w:r>
    </w:p>
    <w:p w:rsidR="001F732A" w:rsidRDefault="001F732A"/>
    <w:p w:rsidR="001F732A" w:rsidRDefault="00000000">
      <w:pPr>
        <w:pStyle w:val="Heading4"/>
      </w:pPr>
      <w:bookmarkStart w:id="6" w:name="pmd-heading-5ba1a72e-6185-481e-aaf9-1840"/>
      <w:r>
        <w:t xml:space="preserve">4. Turn – utilization. Eliminating out of pocket costs drives up demand and causes </w:t>
      </w:r>
      <w:r>
        <w:rPr>
          <w:u w:val="single"/>
        </w:rPr>
        <w:t>massive escalation</w:t>
      </w:r>
      <w:r>
        <w:t xml:space="preserve"> in costs</w:t>
      </w:r>
      <w:bookmarkEnd w:id="6"/>
    </w:p>
    <w:p w:rsidR="001F732A" w:rsidRDefault="00000000">
      <w:r>
        <w:rPr>
          <w:rStyle w:val="Style13ptBold"/>
        </w:rPr>
        <w:t xml:space="preserve">Silver, </w:t>
      </w:r>
      <w:proofErr w:type="spellStart"/>
      <w:r>
        <w:rPr>
          <w:rStyle w:val="Style13ptBold"/>
        </w:rPr>
        <w:t>Univestiy</w:t>
      </w:r>
      <w:proofErr w:type="spellEnd"/>
      <w:r>
        <w:rPr>
          <w:rStyle w:val="Style13ptBold"/>
        </w:rPr>
        <w:t xml:space="preserve"> of Texas Law School Chair of Civil Procedure, and Hyman, Georgetown Law Center Professor of Health Law, 19</w:t>
      </w:r>
    </w:p>
    <w:p w:rsidR="001F732A" w:rsidRDefault="00000000">
      <w:r>
        <w:t xml:space="preserve">[Charles, David A.  11/25/2019, Cato Institute “No, Medicare for All Won’t Save Money” 11/25, </w:t>
      </w:r>
      <w:hyperlink r:id="rId7" w:history="1">
        <w:r>
          <w:t>https://www.cato.org/commentary/no-medicare-all-wont-save-money</w:t>
        </w:r>
      </w:hyperlink>
      <w:r>
        <w:t xml:space="preserve"> //</w:t>
      </w:r>
      <w:proofErr w:type="spellStart"/>
      <w:r>
        <w:t>PolyPrepAD</w:t>
      </w:r>
      <w:proofErr w:type="spellEnd"/>
      <w:r>
        <w:t>]</w:t>
      </w:r>
    </w:p>
    <w:p w:rsidR="001F732A" w:rsidRDefault="001F732A"/>
    <w:p w:rsidR="001F732A" w:rsidRDefault="00000000">
      <w:r>
        <w:rPr>
          <w:sz w:val="14"/>
          <w:szCs w:val="14"/>
        </w:rPr>
        <w:tab/>
      </w:r>
    </w:p>
    <w:p w:rsidR="001F732A" w:rsidRDefault="00000000">
      <w:r>
        <w:rPr>
          <w:rStyle w:val="StyleUnderline"/>
          <w:highlight w:val="yellow"/>
        </w:rPr>
        <w:t>Medicare for All is</w:t>
      </w:r>
      <w:r>
        <w:rPr>
          <w:rStyle w:val="StyleUnderline"/>
        </w:rPr>
        <w:t xml:space="preserve"> also </w:t>
      </w:r>
      <w:r>
        <w:rPr>
          <w:rStyle w:val="Emphasis"/>
          <w:highlight w:val="yellow"/>
        </w:rPr>
        <w:t>certain to drive up spending</w:t>
      </w:r>
      <w:r>
        <w:rPr>
          <w:rStyle w:val="StyleUnderline"/>
          <w:highlight w:val="yellow"/>
        </w:rPr>
        <w:t xml:space="preserve"> by generating an </w:t>
      </w:r>
      <w:r>
        <w:rPr>
          <w:rStyle w:val="Emphasis"/>
          <w:highlight w:val="yellow"/>
        </w:rPr>
        <w:t>enormous surge in demand</w:t>
      </w:r>
      <w:r>
        <w:rPr>
          <w:rStyle w:val="StyleUnderline"/>
        </w:rPr>
        <w:t xml:space="preserve"> for medical care</w:t>
      </w:r>
      <w:r>
        <w:t xml:space="preserve">. The bills pending in Congress promise soup-to-nuts coverage for free. </w:t>
      </w:r>
      <w:r>
        <w:rPr>
          <w:rStyle w:val="StyleUnderline"/>
        </w:rPr>
        <w:t xml:space="preserve">Premiums, deductibles and copays are supposed to vanish. If that happens, prodigious </w:t>
      </w:r>
      <w:r>
        <w:rPr>
          <w:rStyle w:val="StyleUnderline"/>
          <w:highlight w:val="yellow"/>
        </w:rPr>
        <w:t>consumption of medical services will be inevitable.</w:t>
      </w:r>
    </w:p>
    <w:p w:rsidR="001F732A" w:rsidRDefault="00000000">
      <w:r>
        <w:t xml:space="preserve">The fundamental problem is that Medicare for All’s supporters have cause and effect reversed. They think Americans need universal comprehensive coverage because health care is expensive. In reality, </w:t>
      </w:r>
      <w:r>
        <w:rPr>
          <w:rStyle w:val="StyleUnderline"/>
          <w:highlight w:val="yellow"/>
        </w:rPr>
        <w:t>we spend too much on health care because we rely so heavily on third parties</w:t>
      </w:r>
      <w:r>
        <w:rPr>
          <w:rStyle w:val="StyleUnderline"/>
        </w:rPr>
        <w:t>—Medicare, Medicaid, and private insurers—to pay our bills</w:t>
      </w:r>
      <w:r>
        <w:t xml:space="preserve">. </w:t>
      </w:r>
      <w:r>
        <w:rPr>
          <w:rStyle w:val="StyleUnderline"/>
        </w:rPr>
        <w:t>In 1960, when patients paid about $1.73 out of pocket for every $1 paid by an insurer, health care spending per capita was $165</w:t>
      </w:r>
      <w:r>
        <w:t xml:space="preserve">. </w:t>
      </w:r>
      <w:r>
        <w:rPr>
          <w:rStyle w:val="StyleUnderline"/>
        </w:rPr>
        <w:t>In 2010, when patients paid out 16 cents for every insurance dollar, spending per capita was $8,400</w:t>
      </w:r>
      <w:r>
        <w:t xml:space="preserve">. And </w:t>
      </w:r>
      <w:r>
        <w:rPr>
          <w:rStyle w:val="StyleUnderline"/>
        </w:rPr>
        <w:t>in 2017, when the ratio was 14 cents out of pocket for every insurance dollar, spending per capita was $10,740. The more we rely on third party payers, the more we spend</w:t>
      </w:r>
      <w:r>
        <w:t xml:space="preserve">. </w:t>
      </w:r>
      <w:r>
        <w:rPr>
          <w:rStyle w:val="StyleUnderline"/>
        </w:rPr>
        <w:t>Because t</w:t>
      </w:r>
      <w:r>
        <w:t xml:space="preserve">he full-on, government-run, </w:t>
      </w:r>
      <w:r>
        <w:rPr>
          <w:rStyle w:val="StyleUnderline"/>
          <w:highlight w:val="yellow"/>
        </w:rPr>
        <w:t>single-payer</w:t>
      </w:r>
      <w:r>
        <w:t xml:space="preserve"> plans introduced by Senators Bernie Sanders and Elizabeth Warren </w:t>
      </w:r>
      <w:r>
        <w:rPr>
          <w:rStyle w:val="StyleUnderline"/>
        </w:rPr>
        <w:t xml:space="preserve">will reduce out of pocket costs to zero, they </w:t>
      </w:r>
      <w:r>
        <w:rPr>
          <w:rStyle w:val="StyleUnderline"/>
          <w:highlight w:val="yellow"/>
        </w:rPr>
        <w:t xml:space="preserve">will </w:t>
      </w:r>
      <w:r>
        <w:rPr>
          <w:rStyle w:val="Emphasis"/>
          <w:highlight w:val="yellow"/>
        </w:rPr>
        <w:t>drive spending to new heights</w:t>
      </w:r>
      <w:r>
        <w:t>.</w:t>
      </w:r>
    </w:p>
    <w:p w:rsidR="001F732A" w:rsidRDefault="00000000">
      <w:pPr>
        <w:pStyle w:val="Heading4"/>
      </w:pPr>
      <w:bookmarkStart w:id="7" w:name="pmd-heading-c9b6012d-a8b9-4f73-8976-b393"/>
      <w:r>
        <w:lastRenderedPageBreak/>
        <w:t>5. Administrative cost savings are highly exaggerated</w:t>
      </w:r>
      <w:bookmarkEnd w:id="7"/>
    </w:p>
    <w:p w:rsidR="001F732A" w:rsidRDefault="00000000">
      <w:r>
        <w:rPr>
          <w:rStyle w:val="Style13ptBold"/>
        </w:rPr>
        <w:t>Hyman, Georgetown University Law Center, and Silver, Texas School of Law Chair of Civil Procedure, 20</w:t>
      </w:r>
    </w:p>
    <w:p w:rsidR="001F732A" w:rsidRDefault="001F732A"/>
    <w:p w:rsidR="001F732A" w:rsidRDefault="00000000">
      <w:r>
        <w:t xml:space="preserve">[David A., Charles, 2020 </w:t>
      </w:r>
      <w:proofErr w:type="gramStart"/>
      <w:r>
        <w:t>-  “</w:t>
      </w:r>
      <w:proofErr w:type="gramEnd"/>
      <w:r>
        <w:t xml:space="preserve">Medicare </w:t>
      </w:r>
      <w:proofErr w:type="gramStart"/>
      <w:r>
        <w:t>For</w:t>
      </w:r>
      <w:proofErr w:type="gramEnd"/>
      <w:r>
        <w:t xml:space="preserve"> All: Four Inconvenient Truths,” 20 </w:t>
      </w:r>
      <w:proofErr w:type="spellStart"/>
      <w:r>
        <w:t>Hous</w:t>
      </w:r>
      <w:proofErr w:type="spellEnd"/>
      <w:r>
        <w:t xml:space="preserve">. J. Health L. &amp; </w:t>
      </w:r>
      <w:proofErr w:type="spellStart"/>
      <w:r>
        <w:t>Pol'y</w:t>
      </w:r>
      <w:proofErr w:type="spellEnd"/>
      <w:r>
        <w:t xml:space="preserve"> 133, Nexis Uni //DH]</w:t>
      </w:r>
    </w:p>
    <w:p w:rsidR="001F732A" w:rsidRDefault="001F732A"/>
    <w:p w:rsidR="001F732A" w:rsidRDefault="00000000">
      <w:r>
        <w:t xml:space="preserve">A more persuasive response is that proponents have selected a deeply flawed measure of program efficiency. Because the measure of program efficiency is flawed in several different ways, we address each of the difficulties in turn. We begin with </w:t>
      </w:r>
      <w:r>
        <w:rPr>
          <w:rStyle w:val="StyleUnderline"/>
          <w:highlight w:val="yellow"/>
        </w:rPr>
        <w:t>the typical way of calculating program efficiency</w:t>
      </w:r>
      <w:r>
        <w:rPr>
          <w:rStyle w:val="StyleUnderline"/>
        </w:rPr>
        <w:t xml:space="preserve"> - total administrative overhead divided by total program expenditures</w:t>
      </w:r>
      <w:r>
        <w:t xml:space="preserve">. The first problem with </w:t>
      </w:r>
      <w:r>
        <w:rPr>
          <w:rStyle w:val="StyleUnderline"/>
        </w:rPr>
        <w:t>this</w:t>
      </w:r>
      <w:r>
        <w:t xml:space="preserve"> measure is that it </w:t>
      </w:r>
      <w:r>
        <w:rPr>
          <w:rStyle w:val="StyleUnderline"/>
          <w:highlight w:val="yellow"/>
        </w:rPr>
        <w:t>can be</w:t>
      </w:r>
      <w:r>
        <w:rPr>
          <w:rStyle w:val="StyleUnderline"/>
        </w:rPr>
        <w:t xml:space="preserve"> quite </w:t>
      </w:r>
      <w:r>
        <w:rPr>
          <w:rStyle w:val="StyleUnderline"/>
          <w:highlight w:val="yellow"/>
        </w:rPr>
        <w:t>misleading</w:t>
      </w:r>
      <w:r>
        <w:t xml:space="preserve"> if the per-beneficiary </w:t>
      </w:r>
      <w:proofErr w:type="gramStart"/>
      <w:r>
        <w:t>cost  [</w:t>
      </w:r>
      <w:proofErr w:type="gramEnd"/>
      <w:r>
        <w:t>*143] differs across the programs being compared. A quick math example shows the difficulties.</w:t>
      </w:r>
    </w:p>
    <w:p w:rsidR="001F732A" w:rsidRDefault="00000000">
      <w:r>
        <w:rPr>
          <w:rStyle w:val="StyleUnderline"/>
        </w:rPr>
        <w:t>Assume we want to compare</w:t>
      </w:r>
      <w:r>
        <w:t xml:space="preserve"> two health insurance </w:t>
      </w:r>
      <w:r>
        <w:rPr>
          <w:rStyle w:val="StyleUnderline"/>
        </w:rPr>
        <w:t>programs</w:t>
      </w:r>
      <w:r>
        <w:t xml:space="preserve">: one </w:t>
      </w:r>
      <w:r>
        <w:rPr>
          <w:rStyle w:val="StyleUnderline"/>
        </w:rPr>
        <w:t>run by the Evil Bloodsucking Insurance Company ("EBIC</w:t>
      </w:r>
      <w:r>
        <w:t xml:space="preserve">") </w:t>
      </w:r>
      <w:r>
        <w:rPr>
          <w:rStyle w:val="StyleUnderline"/>
        </w:rPr>
        <w:t>and the other run by Medicare</w:t>
      </w:r>
      <w:r>
        <w:t xml:space="preserve">. Now </w:t>
      </w:r>
      <w:r>
        <w:rPr>
          <w:rStyle w:val="StyleUnderline"/>
        </w:rPr>
        <w:t>assume</w:t>
      </w:r>
      <w:r>
        <w:t xml:space="preserve"> that </w:t>
      </w:r>
      <w:r>
        <w:rPr>
          <w:rStyle w:val="StyleUnderline"/>
        </w:rPr>
        <w:t>both</w:t>
      </w:r>
      <w:r>
        <w:t xml:space="preserve"> programs </w:t>
      </w:r>
      <w:r>
        <w:rPr>
          <w:rStyle w:val="StyleUnderline"/>
        </w:rPr>
        <w:t>have identical numbers of beneficiaries</w:t>
      </w:r>
      <w:r>
        <w:t xml:space="preserve"> (10,000) </w:t>
      </w:r>
      <w:r>
        <w:rPr>
          <w:rStyle w:val="StyleUnderline"/>
        </w:rPr>
        <w:t>and the same total administrative overhead</w:t>
      </w:r>
      <w:r>
        <w:t xml:space="preserve"> ($ 500,000). That means that on a per-beneficiary basis, each company spends $ 50 in administrative overhead. Finally, </w:t>
      </w:r>
      <w:r>
        <w:rPr>
          <w:rStyle w:val="StyleUnderline"/>
        </w:rPr>
        <w:t>assume</w:t>
      </w:r>
      <w:r>
        <w:t xml:space="preserve"> that </w:t>
      </w:r>
      <w:r>
        <w:rPr>
          <w:rStyle w:val="StyleUnderline"/>
        </w:rPr>
        <w:t>for EBIC, the average cost</w:t>
      </w:r>
      <w:r>
        <w:t xml:space="preserve"> of health care </w:t>
      </w:r>
      <w:r>
        <w:rPr>
          <w:rStyle w:val="StyleUnderline"/>
        </w:rPr>
        <w:t>per beneficiary is $ 500 while for Medicare, whose patients are older and sicker, it is $ 2,000</w:t>
      </w:r>
      <w:r>
        <w:t>.</w:t>
      </w:r>
    </w:p>
    <w:p w:rsidR="001F732A" w:rsidRDefault="00000000">
      <w:r>
        <w:rPr>
          <w:rStyle w:val="StyleUnderline"/>
        </w:rPr>
        <w:t>The total cost for the EBIC program is $ 5.5 million</w:t>
      </w:r>
      <w:r>
        <w:t xml:space="preserve"> (10,000 beneficiaries * $ 500 per beneficiary in medical spending + $ 500,000 in administrative overhead), </w:t>
      </w:r>
      <w:r>
        <w:rPr>
          <w:rStyle w:val="StyleUnderline"/>
        </w:rPr>
        <w:t>versus $ 20.5 million for Medicare</w:t>
      </w:r>
      <w:r>
        <w:t xml:space="preserve"> (10,000 beneficiaries * $ 2,000 per beneficiary in medical spending + $ 500,000 in administrative overhead). Although both programs have the same number of beneficiaries and the same total administrative costs, </w:t>
      </w:r>
      <w:r>
        <w:rPr>
          <w:rStyle w:val="StyleUnderline"/>
        </w:rPr>
        <w:t>EBIC spends 9% on administration versus only 2% for Medicare</w:t>
      </w:r>
      <w:r>
        <w:t xml:space="preserve">. At first glance, </w:t>
      </w:r>
      <w:r>
        <w:rPr>
          <w:rStyle w:val="StyleUnderline"/>
          <w:highlight w:val="yellow"/>
        </w:rPr>
        <w:t xml:space="preserve">Medicare looks far more efficient - but that difference </w:t>
      </w:r>
      <w:r>
        <w:rPr>
          <w:rStyle w:val="Emphasis"/>
          <w:highlight w:val="yellow"/>
        </w:rPr>
        <w:t>doesn't reflect a real difference</w:t>
      </w:r>
      <w:r>
        <w:rPr>
          <w:rStyle w:val="StyleUnderline"/>
          <w:highlight w:val="yellow"/>
        </w:rPr>
        <w:t xml:space="preserve"> in administrative efficiency</w:t>
      </w:r>
      <w:r>
        <w:t xml:space="preserve">. Instead, </w:t>
      </w:r>
      <w:r>
        <w:rPr>
          <w:rStyle w:val="StyleUnderline"/>
          <w:highlight w:val="yellow"/>
        </w:rPr>
        <w:t xml:space="preserve">Medicare </w:t>
      </w:r>
      <w:r>
        <w:rPr>
          <w:rStyle w:val="Emphasis"/>
          <w:highlight w:val="yellow"/>
        </w:rPr>
        <w:t>looks</w:t>
      </w:r>
      <w:r>
        <w:rPr>
          <w:rStyle w:val="StyleUnderline"/>
          <w:highlight w:val="yellow"/>
        </w:rPr>
        <w:t xml:space="preserve"> more efficient because it spends more money per beneficiary on treatments</w:t>
      </w:r>
      <w:r>
        <w:rPr>
          <w:highlight w:val="yellow"/>
        </w:rPr>
        <w:t>.</w:t>
      </w:r>
      <w:r>
        <w:t xml:space="preserve"> This higher spending inflates the denominator against by which administrative costs are divided.</w:t>
      </w:r>
    </w:p>
    <w:p w:rsidR="001F732A" w:rsidRDefault="00000000">
      <w:r>
        <w:t xml:space="preserve">To see this point, simply </w:t>
      </w:r>
      <w:r>
        <w:rPr>
          <w:rStyle w:val="StyleUnderline"/>
        </w:rPr>
        <w:t>swap the populations covered by EBIC and Medicare while keeping everything else the same. Suddenly EBIC spends only 2% on administration versus 9% for Medicare</w:t>
      </w:r>
      <w:r>
        <w:t xml:space="preserve"> - even though EBIC is still the same evil bloodsucking insurance company and Medicare is still the same virtuous government-run program. As this simple example makes plain, </w:t>
      </w:r>
      <w:r>
        <w:rPr>
          <w:rStyle w:val="StyleUnderline"/>
          <w:highlight w:val="yellow"/>
        </w:rPr>
        <w:t>the case for M4A's</w:t>
      </w:r>
      <w:r>
        <w:rPr>
          <w:rStyle w:val="StyleUnderline"/>
        </w:rPr>
        <w:t xml:space="preserve"> supposedly </w:t>
      </w:r>
      <w:r>
        <w:rPr>
          <w:rStyle w:val="StyleUnderline"/>
          <w:highlight w:val="yellow"/>
        </w:rPr>
        <w:t xml:space="preserve">superior efficiency is almost </w:t>
      </w:r>
      <w:r>
        <w:rPr>
          <w:rStyle w:val="Emphasis"/>
          <w:highlight w:val="yellow"/>
        </w:rPr>
        <w:t>entirely based on bad math</w:t>
      </w:r>
      <w:r>
        <w:t>. 27</w:t>
      </w:r>
    </w:p>
    <w:p w:rsidR="001F732A" w:rsidRDefault="001F732A"/>
    <w:p w:rsidR="001F732A" w:rsidRDefault="00000000">
      <w:pPr>
        <w:pStyle w:val="Heading4"/>
      </w:pPr>
      <w:bookmarkStart w:id="8" w:name="pmd-heading-580a4350-3166-4328-819e-9157"/>
      <w:r>
        <w:t>6. Monopsony power fails. Lobbying means the government will set rates too high.</w:t>
      </w:r>
      <w:bookmarkEnd w:id="8"/>
    </w:p>
    <w:p w:rsidR="001F732A" w:rsidRDefault="00000000">
      <w:r>
        <w:rPr>
          <w:rStyle w:val="Style13ptBold"/>
        </w:rPr>
        <w:t xml:space="preserve">Ginsburg, </w:t>
      </w:r>
      <w:proofErr w:type="spellStart"/>
      <w:r>
        <w:rPr>
          <w:rStyle w:val="Style13ptBold"/>
        </w:rPr>
        <w:t>Univsersity</w:t>
      </w:r>
      <w:proofErr w:type="spellEnd"/>
      <w:r>
        <w:rPr>
          <w:rStyle w:val="Style13ptBold"/>
        </w:rPr>
        <w:t xml:space="preserve"> of </w:t>
      </w:r>
      <w:proofErr w:type="spellStart"/>
      <w:r>
        <w:rPr>
          <w:rStyle w:val="Style13ptBold"/>
        </w:rPr>
        <w:t>Souhtern</w:t>
      </w:r>
      <w:proofErr w:type="spellEnd"/>
      <w:r>
        <w:rPr>
          <w:rStyle w:val="Style13ptBold"/>
        </w:rPr>
        <w:t xml:space="preserve"> California Ph.D., 26</w:t>
      </w:r>
    </w:p>
    <w:p w:rsidR="001F732A" w:rsidRDefault="00000000">
      <w:r>
        <w:t xml:space="preserve">*Interview questions indicated by bolding. </w:t>
      </w:r>
    </w:p>
    <w:p w:rsidR="001F732A" w:rsidRDefault="00000000">
      <w:r>
        <w:lastRenderedPageBreak/>
        <w:t xml:space="preserve">[Paul interviewed by Kristina Fiore, 2/24/2026, </w:t>
      </w:r>
      <w:proofErr w:type="spellStart"/>
      <w:r>
        <w:t>MedPage</w:t>
      </w:r>
      <w:proofErr w:type="spellEnd"/>
      <w:r>
        <w:t xml:space="preserve"> Today, </w:t>
      </w:r>
      <w:hyperlink r:id="rId8" w:history="1">
        <w:r>
          <w:t>https://www.medpagetoday.com/special-reports/features/120025</w:t>
        </w:r>
      </w:hyperlink>
      <w:r>
        <w:t xml:space="preserve"> //</w:t>
      </w:r>
      <w:proofErr w:type="spellStart"/>
      <w:r>
        <w:t>PolyPrep</w:t>
      </w:r>
      <w:proofErr w:type="spellEnd"/>
      <w:r>
        <w:t xml:space="preserve"> AD]</w:t>
      </w:r>
    </w:p>
    <w:p w:rsidR="001F732A" w:rsidRDefault="001F732A"/>
    <w:p w:rsidR="001F732A" w:rsidRDefault="001F732A"/>
    <w:p w:rsidR="001F732A" w:rsidRDefault="00000000">
      <w:r>
        <w:rPr>
          <w:b/>
        </w:rPr>
        <w:t>Would having a single payer help control costs?</w:t>
      </w:r>
    </w:p>
    <w:p w:rsidR="001F732A" w:rsidRDefault="00000000">
      <w:r>
        <w:t>Ginsburg: First of all, it depends what the single-payer system is. Some proposals include covering everything, no consumer payments at all. There's no way that's going to save money.</w:t>
      </w:r>
    </w:p>
    <w:p w:rsidR="001F732A" w:rsidRDefault="00000000">
      <w:r>
        <w:t xml:space="preserve">But then they point to </w:t>
      </w:r>
      <w:r>
        <w:rPr>
          <w:rStyle w:val="StyleUnderline"/>
        </w:rPr>
        <w:t>the potential for lower prices with single payer</w:t>
      </w:r>
      <w:r>
        <w:t xml:space="preserve">, and </w:t>
      </w:r>
      <w:r>
        <w:rPr>
          <w:rStyle w:val="StyleUnderline"/>
        </w:rPr>
        <w:t xml:space="preserve">that's </w:t>
      </w:r>
      <w:r>
        <w:rPr>
          <w:rStyle w:val="Emphasis"/>
        </w:rPr>
        <w:t>in theory</w:t>
      </w:r>
      <w:r>
        <w:rPr>
          <w:rStyle w:val="StyleUnderline"/>
        </w:rPr>
        <w:t xml:space="preserve"> correct</w:t>
      </w:r>
      <w:r>
        <w:t xml:space="preserve">. </w:t>
      </w:r>
      <w:r>
        <w:rPr>
          <w:rStyle w:val="StyleUnderline"/>
        </w:rPr>
        <w:t>But</w:t>
      </w:r>
      <w:r>
        <w:t xml:space="preserve"> I've developed the opinion that </w:t>
      </w:r>
      <w:r>
        <w:rPr>
          <w:rStyle w:val="StyleUnderline"/>
          <w:highlight w:val="yellow"/>
        </w:rPr>
        <w:t>the United States would not be</w:t>
      </w:r>
      <w:r>
        <w:rPr>
          <w:rStyle w:val="StyleUnderline"/>
        </w:rPr>
        <w:t xml:space="preserve"> very </w:t>
      </w:r>
      <w:r>
        <w:rPr>
          <w:rStyle w:val="StyleUnderline"/>
          <w:highlight w:val="yellow"/>
        </w:rPr>
        <w:t>good at running a single-payer system</w:t>
      </w:r>
      <w:r>
        <w:rPr>
          <w:rStyle w:val="StyleUnderline"/>
        </w:rPr>
        <w:t>. I think it would not be as good as Canada, not be as good as the U.K., and that's often reflection of the nature of our political system.</w:t>
      </w:r>
    </w:p>
    <w:p w:rsidR="001F732A" w:rsidRDefault="00000000">
      <w:r>
        <w:t xml:space="preserve">You know, </w:t>
      </w:r>
      <w:r>
        <w:rPr>
          <w:rStyle w:val="StyleUnderline"/>
        </w:rPr>
        <w:t>the contrast with Canada is amazing.</w:t>
      </w:r>
      <w:r>
        <w:t xml:space="preserve"> Once </w:t>
      </w:r>
      <w:r>
        <w:rPr>
          <w:rStyle w:val="StyleUnderline"/>
        </w:rPr>
        <w:t xml:space="preserve">I spent some time with the officials in the province of Manitoba who were running the province's health plan and the degree of authority that these civil servants had was really striking in comparison with the United States. Not only do </w:t>
      </w:r>
      <w:r>
        <w:rPr>
          <w:rStyle w:val="StyleUnderline"/>
          <w:highlight w:val="yellow"/>
        </w:rPr>
        <w:t>we give civil servants very little authority,</w:t>
      </w:r>
      <w:r>
        <w:rPr>
          <w:rStyle w:val="StyleUnderline"/>
        </w:rPr>
        <w:t xml:space="preserve"> we even give the political appointees very little authority because </w:t>
      </w:r>
      <w:r>
        <w:rPr>
          <w:rStyle w:val="StyleUnderline"/>
          <w:highlight w:val="yellow"/>
        </w:rPr>
        <w:t xml:space="preserve">our government is </w:t>
      </w:r>
      <w:r>
        <w:rPr>
          <w:rStyle w:val="Emphasis"/>
          <w:highlight w:val="yellow"/>
        </w:rPr>
        <w:t>so open to being lobbied</w:t>
      </w:r>
      <w:r>
        <w:rPr>
          <w:rStyle w:val="StyleUnderline"/>
          <w:highlight w:val="yellow"/>
        </w:rPr>
        <w:t xml:space="preserve"> by various stakeholders</w:t>
      </w:r>
      <w:r>
        <w:t>.</w:t>
      </w:r>
    </w:p>
    <w:p w:rsidR="001F732A" w:rsidRDefault="00000000">
      <w:proofErr w:type="gramStart"/>
      <w:r>
        <w:rPr>
          <w:rStyle w:val="StyleUnderline"/>
        </w:rPr>
        <w:t>So</w:t>
      </w:r>
      <w:proofErr w:type="gramEnd"/>
      <w:r>
        <w:rPr>
          <w:rStyle w:val="StyleUnderline"/>
        </w:rPr>
        <w:t xml:space="preserve"> </w:t>
      </w:r>
      <w:r>
        <w:rPr>
          <w:rStyle w:val="StyleUnderline"/>
          <w:highlight w:val="yellow"/>
        </w:rPr>
        <w:t xml:space="preserve">we could have a single-payer system where the government was setting the rates and the </w:t>
      </w:r>
      <w:r>
        <w:rPr>
          <w:rStyle w:val="Emphasis"/>
          <w:highlight w:val="yellow"/>
        </w:rPr>
        <w:t>rates would be set too high</w:t>
      </w:r>
      <w:r>
        <w:rPr>
          <w:highlight w:val="yellow"/>
        </w:rPr>
        <w:t>.</w:t>
      </w:r>
    </w:p>
    <w:p w:rsidR="001F732A" w:rsidRDefault="00000000">
      <w:pPr>
        <w:pStyle w:val="Heading2"/>
      </w:pPr>
      <w:bookmarkStart w:id="9" w:name="pmd-heading-922baa44-1a2b-4453-bc0b-0fe6"/>
      <w:r>
        <w:lastRenderedPageBreak/>
        <w:t>AT: Coverage Advantage</w:t>
      </w:r>
      <w:bookmarkEnd w:id="9"/>
    </w:p>
    <w:p w:rsidR="001F732A" w:rsidRDefault="00000000">
      <w:pPr>
        <w:pStyle w:val="Heading3"/>
      </w:pPr>
      <w:bookmarkStart w:id="10" w:name="pmd-heading-ec6a574e-c0f1-41d3-b5ff-09d0"/>
      <w:r>
        <w:lastRenderedPageBreak/>
        <w:t>1NC - Coverage Advantage</w:t>
      </w:r>
      <w:bookmarkEnd w:id="10"/>
    </w:p>
    <w:p w:rsidR="001F732A" w:rsidRDefault="00000000">
      <w:pPr>
        <w:pStyle w:val="Heading4"/>
      </w:pPr>
      <w:bookmarkStart w:id="11" w:name="pmd-heading-8fab8f38-d65a-4133-be21-f157"/>
      <w:r>
        <w:t xml:space="preserve">1. Plan’s impact is </w:t>
      </w:r>
      <w:proofErr w:type="gramStart"/>
      <w:r>
        <w:t>minimal,</w:t>
      </w:r>
      <w:proofErr w:type="gramEnd"/>
      <w:r>
        <w:t xml:space="preserve"> it would have barely affected Covid. </w:t>
      </w:r>
      <w:bookmarkEnd w:id="11"/>
    </w:p>
    <w:p w:rsidR="001F732A" w:rsidRDefault="00000000">
      <w:r>
        <w:rPr>
          <w:rStyle w:val="Style13ptBold"/>
        </w:rPr>
        <w:t>Davis, University of Southern California MA in International Relations, 26</w:t>
      </w:r>
    </w:p>
    <w:p w:rsidR="001F732A" w:rsidRDefault="00000000">
      <w:r>
        <w:t>[Todd, 02/15/2026, Google Books, Covid</w:t>
      </w:r>
      <w:r>
        <w:rPr>
          <w:rStyle w:val="StyleUnderline"/>
        </w:rPr>
        <w:t>-19 Catastrophe: The Problematic Response of the American Government to the Global Pandemic</w:t>
      </w:r>
      <w:r>
        <w:t>, //DH]</w:t>
      </w:r>
    </w:p>
    <w:p w:rsidR="001F732A" w:rsidRDefault="001F732A"/>
    <w:p w:rsidR="001F732A" w:rsidRDefault="00000000">
      <w:r>
        <w:t>Single Payer Insurance</w:t>
      </w:r>
    </w:p>
    <w:p w:rsidR="001F732A" w:rsidRDefault="00000000">
      <w:r>
        <w:t xml:space="preserve">The 2020 Presidential campaign saw proposals by Senator Sanders and Senator Warren to create a single payer Medicare for all healthcare system. Under the Sanders plan everyone including undocumented workers would be provided healthcare Insurance. The Sanders plan covers everything so there are no out of pocket expenses for prescriptions in some cases.24 The Sanders </w:t>
      </w:r>
      <w:r>
        <w:rPr>
          <w:rStyle w:val="StyleUnderline"/>
          <w:highlight w:val="yellow"/>
        </w:rPr>
        <w:t>single payer</w:t>
      </w:r>
      <w:r>
        <w:t xml:space="preserve"> plan </w:t>
      </w:r>
      <w:r>
        <w:rPr>
          <w:rStyle w:val="StyleUnderline"/>
          <w:highlight w:val="yellow"/>
        </w:rPr>
        <w:t>would</w:t>
      </w:r>
      <w:r>
        <w:t xml:space="preserve"> probably </w:t>
      </w:r>
      <w:r>
        <w:rPr>
          <w:rStyle w:val="StyleUnderline"/>
          <w:highlight w:val="yellow"/>
        </w:rPr>
        <w:t>have</w:t>
      </w:r>
      <w:r>
        <w:t xml:space="preserve"> greatly </w:t>
      </w:r>
      <w:r>
        <w:rPr>
          <w:rStyle w:val="StyleUnderline"/>
          <w:highlight w:val="yellow"/>
        </w:rPr>
        <w:t>helped COVID patients</w:t>
      </w:r>
      <w:r>
        <w:rPr>
          <w:rStyle w:val="StyleUnderline"/>
        </w:rPr>
        <w:t xml:space="preserve"> that were hospitalized </w:t>
      </w:r>
      <w:r>
        <w:rPr>
          <w:rStyle w:val="StyleUnderline"/>
          <w:highlight w:val="yellow"/>
        </w:rPr>
        <w:t>without insurance</w:t>
      </w:r>
      <w:r>
        <w:rPr>
          <w:highlight w:val="yellow"/>
        </w:rPr>
        <w:t xml:space="preserve">. </w:t>
      </w:r>
      <w:r>
        <w:rPr>
          <w:rStyle w:val="StyleUnderline"/>
          <w:highlight w:val="yellow"/>
        </w:rPr>
        <w:t xml:space="preserve">However, many </w:t>
      </w:r>
      <w:proofErr w:type="gramStart"/>
      <w:r>
        <w:rPr>
          <w:rStyle w:val="StyleUnderline"/>
          <w:highlight w:val="yellow"/>
        </w:rPr>
        <w:t>low income</w:t>
      </w:r>
      <w:proofErr w:type="gramEnd"/>
      <w:r>
        <w:rPr>
          <w:rStyle w:val="StyleUnderline"/>
          <w:highlight w:val="yellow"/>
        </w:rPr>
        <w:t xml:space="preserve"> patients already had Medicaid and Medicare so the </w:t>
      </w:r>
      <w:r>
        <w:rPr>
          <w:rStyle w:val="Emphasis"/>
          <w:highlight w:val="yellow"/>
        </w:rPr>
        <w:t>impact may have been minimal</w:t>
      </w:r>
      <w:r>
        <w:rPr>
          <w:highlight w:val="yellow"/>
        </w:rPr>
        <w:t>.</w:t>
      </w:r>
      <w:r>
        <w:t xml:space="preserve"> Another problem that became salient during the COVID catastrophe was that </w:t>
      </w:r>
      <w:r>
        <w:rPr>
          <w:rStyle w:val="StyleUnderline"/>
        </w:rPr>
        <w:t xml:space="preserve">both </w:t>
      </w:r>
      <w:r>
        <w:rPr>
          <w:rStyle w:val="StyleUnderline"/>
          <w:highlight w:val="yellow"/>
        </w:rPr>
        <w:t>anti-vaxx and anti-science groups would</w:t>
      </w:r>
      <w:r>
        <w:rPr>
          <w:rStyle w:val="StyleUnderline"/>
        </w:rPr>
        <w:t xml:space="preserve"> probably </w:t>
      </w:r>
      <w:r>
        <w:rPr>
          <w:rStyle w:val="StyleUnderline"/>
          <w:highlight w:val="yellow"/>
        </w:rPr>
        <w:t xml:space="preserve">not have sought out healthcare </w:t>
      </w:r>
      <w:r>
        <w:rPr>
          <w:rStyle w:val="Emphasis"/>
          <w:highlight w:val="yellow"/>
        </w:rPr>
        <w:t>even if they had single payer insurance.</w:t>
      </w:r>
    </w:p>
    <w:p w:rsidR="001F732A" w:rsidRDefault="001F732A"/>
    <w:p w:rsidR="001F732A" w:rsidRDefault="00000000">
      <w:pPr>
        <w:pStyle w:val="Heading4"/>
      </w:pPr>
      <w:bookmarkStart w:id="12" w:name="pmd-heading-bad7aaa4-394d-43f4-97be-5efb"/>
      <w:r>
        <w:t>2. The risk of pandemics threatening civilization is at most .1%.</w:t>
      </w:r>
      <w:bookmarkEnd w:id="12"/>
    </w:p>
    <w:p w:rsidR="001F732A" w:rsidRDefault="00000000">
      <w:r>
        <w:rPr>
          <w:rStyle w:val="Style13ptBold"/>
        </w:rPr>
        <w:t>Gopal, MIT Research Scientist, Et. Al., 23</w:t>
      </w:r>
    </w:p>
    <w:p w:rsidR="001F732A" w:rsidRDefault="00000000">
      <w:r>
        <w:t xml:space="preserve">[Anjali, William Bradshaw, Vaishnav Sunil, Kevin M. </w:t>
      </w:r>
      <w:proofErr w:type="spellStart"/>
      <w:r>
        <w:t>Esvelt</w:t>
      </w:r>
      <w:proofErr w:type="spellEnd"/>
      <w:r>
        <w:t xml:space="preserve">, 10/202 ,  Geneva Centre for Security Policy, “Securing </w:t>
      </w:r>
      <w:proofErr w:type="spellStart"/>
      <w:r>
        <w:t>Civilisation</w:t>
      </w:r>
      <w:proofErr w:type="spellEnd"/>
      <w:r>
        <w:t xml:space="preserve"> Against Catastrophic Pandemics” https</w:t>
      </w:r>
      <w:hyperlink r:id="rId9" w:history="1">
        <w:r>
          <w:t>://dam.gcsp.ch/files/doc/securing-civilisation-against-catastrophic-pandemics-gp-31</w:t>
        </w:r>
      </w:hyperlink>
      <w:r>
        <w:t xml:space="preserve"> //</w:t>
      </w:r>
      <w:proofErr w:type="spellStart"/>
      <w:r>
        <w:t>PolyPrep</w:t>
      </w:r>
      <w:proofErr w:type="spellEnd"/>
      <w:r>
        <w:t xml:space="preserve"> AD]</w:t>
      </w:r>
    </w:p>
    <w:p w:rsidR="001F732A" w:rsidRDefault="001F732A"/>
    <w:p w:rsidR="001F732A" w:rsidRDefault="00000000">
      <w:r>
        <w:rPr>
          <w:rStyle w:val="StyleUnderline"/>
        </w:rPr>
        <w:t xml:space="preserve">The Wildfire scenario requires the introduction of a lethal pandemic agent capable of spreading through populations of essential workers in every nation, even after they adjust their workflows to </w:t>
      </w:r>
      <w:proofErr w:type="spellStart"/>
      <w:r>
        <w:rPr>
          <w:rStyle w:val="StyleUnderline"/>
        </w:rPr>
        <w:t>minimise</w:t>
      </w:r>
      <w:proofErr w:type="spellEnd"/>
      <w:r>
        <w:rPr>
          <w:rStyle w:val="StyleUnderline"/>
        </w:rPr>
        <w:t xml:space="preserve"> human contact.</w:t>
      </w:r>
      <w:r>
        <w:t xml:space="preserve"> The Omicron variant of SARS-CoV-2 plausibly sufficed. Drawing from data on its spread in previously naive Chinese populations in the months before and just after the relaxation of that country's zero-COVID policy, Omicron likely exhibits an R0 between 4.0 and 5.5 with an upper bound of 6.8 (see Appendix 1). We </w:t>
      </w:r>
      <w:r>
        <w:rPr>
          <w:rStyle w:val="StyleUnderline"/>
        </w:rPr>
        <w:t>therefore define a Wildfire pathogen as one exhibiting a case fatality rate above 20% and a basic reproduction number exceeding</w:t>
      </w:r>
      <w:r>
        <w:t xml:space="preserve"> 5.5. </w:t>
      </w:r>
      <w:r>
        <w:rPr>
          <w:rStyle w:val="StyleUnderline"/>
          <w:highlight w:val="yellow"/>
        </w:rPr>
        <w:t>Only one pandemic pathogen</w:t>
      </w:r>
      <w:r>
        <w:rPr>
          <w:rStyle w:val="StyleUnderline"/>
        </w:rPr>
        <w:t xml:space="preserve"> in the four thousand years in which densely populated cities and frequently used trade routes have been key features of civilisation</w:t>
      </w:r>
      <w:r>
        <w:t xml:space="preserve">,22 </w:t>
      </w:r>
      <w:r>
        <w:rPr>
          <w:rStyle w:val="StyleUnderline"/>
        </w:rPr>
        <w:t>i.e.</w:t>
      </w:r>
      <w:r>
        <w:t xml:space="preserve"> the variola major virus that causes </w:t>
      </w:r>
      <w:r>
        <w:rPr>
          <w:rStyle w:val="StyleUnderline"/>
        </w:rPr>
        <w:t>smallpox</w:t>
      </w:r>
      <w:r>
        <w:t xml:space="preserve">, </w:t>
      </w:r>
      <w:r>
        <w:rPr>
          <w:rStyle w:val="StyleUnderline"/>
          <w:highlight w:val="yellow"/>
        </w:rPr>
        <w:t>has been both highly lethal</w:t>
      </w:r>
      <w:r>
        <w:t xml:space="preserve"> (~30% case fatality rate) </w:t>
      </w:r>
      <w:r>
        <w:rPr>
          <w:rStyle w:val="StyleUnderline"/>
          <w:highlight w:val="yellow"/>
        </w:rPr>
        <w:t>and could be sufficiently contagious</w:t>
      </w:r>
      <w:r>
        <w:t xml:space="preserve"> (R0=3.5-6.0).23 Therefore, </w:t>
      </w:r>
      <w:r>
        <w:rPr>
          <w:rStyle w:val="StyleUnderline"/>
        </w:rPr>
        <w:t xml:space="preserve">historical inference suggests that </w:t>
      </w:r>
      <w:r>
        <w:rPr>
          <w:rStyle w:val="StyleUnderline"/>
          <w:highlight w:val="yellow"/>
        </w:rPr>
        <w:t>the annual chance of a natural Wildfire pandemic is</w:t>
      </w:r>
      <w:r>
        <w:rPr>
          <w:rStyle w:val="StyleUnderline"/>
        </w:rPr>
        <w:t xml:space="preserve"> somewhere between </w:t>
      </w:r>
      <w:r>
        <w:rPr>
          <w:rStyle w:val="StyleUnderline"/>
          <w:highlight w:val="yellow"/>
        </w:rPr>
        <w:t>negligible</w:t>
      </w:r>
      <w:r>
        <w:rPr>
          <w:rStyle w:val="StyleUnderline"/>
        </w:rPr>
        <w:t xml:space="preserve"> and a theoretical maximum of 0.1%</w:t>
      </w:r>
      <w:r>
        <w:t xml:space="preserve"> (see Appendix 1).</w:t>
      </w:r>
    </w:p>
    <w:p w:rsidR="001F732A" w:rsidRDefault="00000000">
      <w:pPr>
        <w:pStyle w:val="Heading4"/>
      </w:pPr>
      <w:bookmarkStart w:id="13" w:name="pmd-heading-3e3b83bb-f5cc-43e7-9e88-aae6"/>
      <w:r>
        <w:t>3. Turn – increased wait times under single payer harms pandemic response.</w:t>
      </w:r>
      <w:bookmarkEnd w:id="13"/>
    </w:p>
    <w:p w:rsidR="001F732A" w:rsidRDefault="00000000">
      <w:r>
        <w:rPr>
          <w:rStyle w:val="Style13ptBold"/>
        </w:rPr>
        <w:t>Atlas, Stanford University Senior Fellow, 23</w:t>
      </w:r>
    </w:p>
    <w:p w:rsidR="001F732A" w:rsidRDefault="00000000">
      <w:r>
        <w:lastRenderedPageBreak/>
        <w:t>[Scott W., 07/11/2023, “Sanders' Medicare-for-All Would Destroy America's Health Care” RealClearPolitics, 7/11 Nexis Uni //DH]</w:t>
      </w:r>
    </w:p>
    <w:p w:rsidR="001F732A" w:rsidRDefault="001F732A"/>
    <w:p w:rsidR="001F732A" w:rsidRDefault="00000000">
      <w:r>
        <w:rPr>
          <w:rStyle w:val="StyleUnderline"/>
          <w:highlight w:val="yellow"/>
        </w:rPr>
        <w:t>Pretending that</w:t>
      </w:r>
      <w:r>
        <w:rPr>
          <w:rStyle w:val="StyleUnderline"/>
        </w:rPr>
        <w:t xml:space="preserve"> labeling people </w:t>
      </w:r>
      <w:r>
        <w:rPr>
          <w:rStyle w:val="StyleUnderline"/>
          <w:highlight w:val="yellow"/>
        </w:rPr>
        <w:t>"insured" means "guaranteed care" is gaslighting Americans.</w:t>
      </w:r>
      <w:r>
        <w:rPr>
          <w:highlight w:val="yellow"/>
        </w:rPr>
        <w:t xml:space="preserve"> I</w:t>
      </w:r>
      <w:r>
        <w:rPr>
          <w:rStyle w:val="StyleUnderline"/>
          <w:highlight w:val="yellow"/>
        </w:rPr>
        <w:t>n England's</w:t>
      </w:r>
      <w:r>
        <w:rPr>
          <w:rStyle w:val="StyleUnderline"/>
        </w:rPr>
        <w:t xml:space="preserve"> NHS</w:t>
      </w:r>
      <w:r>
        <w:t xml:space="preserve"> with its guarantees, a record-setting </w:t>
      </w:r>
      <w:r>
        <w:rPr>
          <w:rStyle w:val="StyleUnderline"/>
          <w:highlight w:val="yellow"/>
        </w:rPr>
        <w:t>7.4 million patients are on</w:t>
      </w:r>
      <w:r>
        <w:rPr>
          <w:rStyle w:val="StyleUnderline"/>
        </w:rPr>
        <w:t xml:space="preserve"> NHS </w:t>
      </w:r>
      <w:r>
        <w:rPr>
          <w:rStyle w:val="StyleUnderline"/>
          <w:highlight w:val="yellow"/>
        </w:rPr>
        <w:t>waiting lists</w:t>
      </w:r>
      <w:r>
        <w:t xml:space="preserve">; over </w:t>
      </w:r>
      <w:r>
        <w:rPr>
          <w:rStyle w:val="StyleUnderline"/>
        </w:rPr>
        <w:t>371,000</w:t>
      </w:r>
      <w:r>
        <w:t xml:space="preserve"> patients a</w:t>
      </w:r>
      <w:r>
        <w:rPr>
          <w:rStyle w:val="StyleUnderline"/>
        </w:rPr>
        <w:t>re now waiting more than one full year</w:t>
      </w:r>
      <w:r>
        <w:t xml:space="preserve">, even </w:t>
      </w:r>
      <w:r>
        <w:rPr>
          <w:rStyle w:val="StyleUnderline"/>
        </w:rPr>
        <w:t>after initial diagnosis and referral</w:t>
      </w:r>
      <w:r>
        <w:t xml:space="preserve">. </w:t>
      </w:r>
      <w:r>
        <w:rPr>
          <w:highlight w:val="yellow"/>
        </w:rPr>
        <w:t>I</w:t>
      </w:r>
      <w:r>
        <w:rPr>
          <w:rStyle w:val="StyleUnderline"/>
          <w:highlight w:val="yellow"/>
        </w:rPr>
        <w:t>n Canada's single-payer</w:t>
      </w:r>
      <w:r>
        <w:t xml:space="preserve"> system, </w:t>
      </w:r>
      <w:r>
        <w:rPr>
          <w:highlight w:val="yellow"/>
        </w:rPr>
        <w:t>th</w:t>
      </w:r>
      <w:r>
        <w:rPr>
          <w:rStyle w:val="StyleUnderline"/>
          <w:highlight w:val="yellow"/>
        </w:rPr>
        <w:t>e</w:t>
      </w:r>
      <w:r>
        <w:rPr>
          <w:rStyle w:val="StyleUnderline"/>
        </w:rPr>
        <w:t xml:space="preserve"> 2022 </w:t>
      </w:r>
      <w:r>
        <w:rPr>
          <w:rStyle w:val="StyleUnderline"/>
          <w:highlight w:val="yellow"/>
        </w:rPr>
        <w:t>median wait from</w:t>
      </w:r>
      <w:r>
        <w:rPr>
          <w:rStyle w:val="StyleUnderline"/>
        </w:rPr>
        <w:t xml:space="preserve"> GP </w:t>
      </w:r>
      <w:r>
        <w:rPr>
          <w:rStyle w:val="StyleUnderline"/>
          <w:highlight w:val="yellow"/>
        </w:rPr>
        <w:t>referral to first treatment</w:t>
      </w:r>
      <w:r>
        <w:rPr>
          <w:rStyle w:val="StyleUnderline"/>
        </w:rPr>
        <w:t>,</w:t>
      </w:r>
      <w:r>
        <w:t xml:space="preserve"> after already seeing a doctor, </w:t>
      </w:r>
      <w:r>
        <w:rPr>
          <w:rStyle w:val="StyleUnderline"/>
          <w:highlight w:val="yellow"/>
        </w:rPr>
        <w:t>was</w:t>
      </w:r>
      <w:r>
        <w:rPr>
          <w:rStyle w:val="StyleUnderline"/>
        </w:rPr>
        <w:t xml:space="preserve"> about </w:t>
      </w:r>
      <w:r>
        <w:rPr>
          <w:rStyle w:val="StyleUnderline"/>
          <w:highlight w:val="yellow"/>
        </w:rPr>
        <w:t>7 months.</w:t>
      </w:r>
    </w:p>
    <w:p w:rsidR="001F732A" w:rsidRDefault="00000000">
      <w:r>
        <w:rPr>
          <w:highlight w:val="yellow"/>
        </w:rPr>
        <w:t>E</w:t>
      </w:r>
      <w:r>
        <w:rPr>
          <w:rStyle w:val="StyleUnderline"/>
          <w:highlight w:val="yellow"/>
        </w:rPr>
        <w:t xml:space="preserve">ven seriously ill patients referred for "urgent treatment" wait </w:t>
      </w:r>
      <w:r>
        <w:rPr>
          <w:rStyle w:val="Emphasis"/>
          <w:highlight w:val="yellow"/>
        </w:rPr>
        <w:t>months</w:t>
      </w:r>
      <w:r>
        <w:rPr>
          <w:rStyle w:val="StyleUnderline"/>
        </w:rPr>
        <w:t xml:space="preserve"> </w:t>
      </w:r>
      <w:r>
        <w:t>after their doctors recommend treatment. In England's NHS, more than 41% of cancer patients wait more than two months after GP referral for their first "urgent treatment" and 49% wait more than four months for their recommended brain surgery. Canadians with already diagnosed heart disease wait a median of 16.4 weeks for their first treatment; for neurosurgery after already seeing a doctor, they wait 58.9 weeks - more than one year.</w:t>
      </w:r>
    </w:p>
    <w:p w:rsidR="001F732A" w:rsidRDefault="00000000">
      <w:r>
        <w:rPr>
          <w:rStyle w:val="StyleUnderline"/>
          <w:highlight w:val="yellow"/>
        </w:rPr>
        <w:t>All U.S. wait times are far shorter</w:t>
      </w:r>
      <w:r>
        <w:rPr>
          <w:rStyle w:val="StyleUnderline"/>
        </w:rPr>
        <w:t xml:space="preserve"> and have remained so - even comparing the lowest priority visits,</w:t>
      </w:r>
      <w:r>
        <w:t xml:space="preserve"> including healthy check-ups, </w:t>
      </w:r>
      <w:r>
        <w:rPr>
          <w:rStyle w:val="StyleUnderline"/>
        </w:rPr>
        <w:t>to seriously ill patients in single-payer countries</w:t>
      </w:r>
      <w:r>
        <w:t xml:space="preserve">. </w:t>
      </w:r>
      <w:r>
        <w:rPr>
          <w:rStyle w:val="StyleUnderline"/>
        </w:rPr>
        <w:t xml:space="preserve">Current waits in the U.S. </w:t>
      </w:r>
      <w:r>
        <w:t xml:space="preserve">for all five surveyed specialties, regardless of insurance, </w:t>
      </w:r>
      <w:r>
        <w:rPr>
          <w:rStyle w:val="StyleUnderline"/>
        </w:rPr>
        <w:t>average only 26 days</w:t>
      </w:r>
      <w:r>
        <w:t>. While Canadians wait 48 weeks to see an orthopedist after referral from their GP, Americans wait only 16.9 days; Canadian women wait 15.7 weeks for their OB-GYN appointment after referral for illness, while American women wait 31 days for their non-urgent check-up.</w:t>
      </w:r>
    </w:p>
    <w:p w:rsidR="001F732A" w:rsidRDefault="00000000">
      <w:r>
        <w:rPr>
          <w:rStyle w:val="StyleUnderline"/>
        </w:rPr>
        <w:t>The pandemic lockdowns further highlighted the abject failure of single-payer systems. The UK's Institute for Public Policy projected it will take seven years for missed cancer chemotherapy and twelve years for missed radiation therapy backlogs to clear. Many will die waiting.</w:t>
      </w:r>
      <w:r>
        <w:t xml:space="preserve"> And despite the marketing that the NHS is a badge of national pride, satisfaction by the British fell to 29% and dissatisfaction rose to 51% - the worst since the first survey 50 years ago. Is it any wonder that we are finally seeing UK media call out the nation's "reluctance to admit just how bad the reality is"?</w:t>
      </w:r>
    </w:p>
    <w:p w:rsidR="001F732A" w:rsidRDefault="00000000">
      <w:r>
        <w:rPr>
          <w:rStyle w:val="Emphasis"/>
          <w:highlight w:val="yellow"/>
        </w:rPr>
        <w:t>The consequences of single-payer restrictions are clear - patients in those systems have suffered worse outcomes from all the most common serious diseases.</w:t>
      </w:r>
      <w:r>
        <w:t xml:space="preserve"> For decades, the U.S. has had consistently superior survivals from cancer than single-payer systems, a fact Europeans begrudgingly admit ("Europeans are way, way more likely to die of cancer than Americans… Turns out the US is actually doing something right when it comes to health care"), as well as best treatment outcomes for diabetes, high blood pressure, stroke and heart disease. Should Americans ignore that over a 16-year period, more than 44,000 additional Canadian women died due to Canada's wait times for treatment?</w:t>
      </w:r>
    </w:p>
    <w:p w:rsidR="001F732A" w:rsidRDefault="00000000">
      <w:pPr>
        <w:pStyle w:val="Heading4"/>
      </w:pPr>
      <w:bookmarkStart w:id="14" w:name="pmd-heading-61ffbe44-d3c3-491d-8cf4-8924"/>
      <w:r>
        <w:t xml:space="preserve">4. Alternate causality. Trump means low pandemic preparedness is inevitable. </w:t>
      </w:r>
      <w:bookmarkEnd w:id="14"/>
    </w:p>
    <w:p w:rsidR="001F732A" w:rsidRDefault="00000000">
      <w:r>
        <w:rPr>
          <w:rStyle w:val="Style13ptBold"/>
        </w:rPr>
        <w:t>Nix, Bloomberg News Public Health Reporter, 26</w:t>
      </w:r>
    </w:p>
    <w:p w:rsidR="001F732A" w:rsidRDefault="00000000">
      <w:r>
        <w:t>[Jessica, 6/11/2026, Bloomberg News, "Is the US Prepared for the Next Pandemic? How Trump’s Policies Have Weakened Defenses"https://www.bloomberg.com/news/articles/2026-06-11/is-the-us-prepared-for-the-next-pandemic-how-trump-s-policies-weakened-defenses //</w:t>
      </w:r>
      <w:proofErr w:type="spellStart"/>
      <w:r>
        <w:t>PolyPrep</w:t>
      </w:r>
      <w:proofErr w:type="spellEnd"/>
      <w:r>
        <w:t xml:space="preserve"> AD]</w:t>
      </w:r>
    </w:p>
    <w:p w:rsidR="001F732A" w:rsidRDefault="001F732A"/>
    <w:p w:rsidR="001F732A" w:rsidRDefault="00000000">
      <w:r>
        <w:rPr>
          <w:rStyle w:val="StyleUnderline"/>
          <w:highlight w:val="yellow"/>
        </w:rPr>
        <w:lastRenderedPageBreak/>
        <w:t>The fundamentals of pandemic preparedness include</w:t>
      </w:r>
      <w:r>
        <w:rPr>
          <w:rStyle w:val="StyleUnderline"/>
        </w:rPr>
        <w:t xml:space="preserve"> maintaining </w:t>
      </w:r>
      <w:r>
        <w:rPr>
          <w:rStyle w:val="StyleUnderline"/>
          <w:highlight w:val="yellow"/>
        </w:rPr>
        <w:t>a robust public health infrastructure,</w:t>
      </w:r>
      <w:r>
        <w:rPr>
          <w:rStyle w:val="StyleUnderline"/>
        </w:rPr>
        <w:t xml:space="preserve"> including </w:t>
      </w:r>
      <w:r>
        <w:rPr>
          <w:rStyle w:val="StyleUnderline"/>
          <w:highlight w:val="yellow"/>
        </w:rPr>
        <w:t>a strong surveillance system</w:t>
      </w:r>
      <w:r>
        <w:rPr>
          <w:rStyle w:val="StyleUnderline"/>
        </w:rPr>
        <w:t xml:space="preserve"> to detect threats</w:t>
      </w:r>
      <w:r>
        <w:rPr>
          <w:sz w:val="14"/>
          <w:szCs w:val="14"/>
        </w:rPr>
        <w:t xml:space="preserve"> early; </w:t>
      </w:r>
      <w:r>
        <w:rPr>
          <w:rStyle w:val="StyleUnderline"/>
          <w:highlight w:val="yellow"/>
        </w:rPr>
        <w:t>investing in research</w:t>
      </w:r>
      <w:r>
        <w:rPr>
          <w:rStyle w:val="StyleUnderline"/>
        </w:rPr>
        <w:t xml:space="preserve"> to facilitate the quick development of new treatments and vaccines; </w:t>
      </w:r>
      <w:r>
        <w:rPr>
          <w:rStyle w:val="StyleUnderline"/>
          <w:highlight w:val="yellow"/>
        </w:rPr>
        <w:t>and building public trust</w:t>
      </w:r>
      <w:r>
        <w:rPr>
          <w:sz w:val="14"/>
          <w:szCs w:val="14"/>
        </w:rPr>
        <w:t xml:space="preserve"> in health officials. </w:t>
      </w:r>
      <w:r>
        <w:rPr>
          <w:rStyle w:val="StyleUnderline"/>
          <w:highlight w:val="yellow"/>
        </w:rPr>
        <w:t>On each of these fronts</w:t>
      </w:r>
      <w:r>
        <w:rPr>
          <w:rStyle w:val="StyleUnderline"/>
        </w:rPr>
        <w:t xml:space="preserve">, health experts say, steps taken by President Donald </w:t>
      </w:r>
      <w:r>
        <w:rPr>
          <w:rStyle w:val="StyleUnderline"/>
          <w:highlight w:val="yellow"/>
        </w:rPr>
        <w:t>Trump’s administration have weakened the ability of the US to respond to a new health emergency</w:t>
      </w:r>
      <w:r>
        <w:rPr>
          <w:rStyle w:val="StyleUnderline"/>
        </w:rPr>
        <w:t>.</w:t>
      </w:r>
    </w:p>
    <w:p w:rsidR="001F732A" w:rsidRDefault="00000000">
      <w:r>
        <w:rPr>
          <w:sz w:val="14"/>
          <w:szCs w:val="14"/>
        </w:rPr>
        <w:t>“</w:t>
      </w:r>
      <w:r>
        <w:rPr>
          <w:rStyle w:val="StyleUnderline"/>
        </w:rPr>
        <w:t>We’re much less prepared than we were during the Covid pandemic, and we didn’t perform well then</w:t>
      </w:r>
      <w:r>
        <w:rPr>
          <w:sz w:val="14"/>
          <w:szCs w:val="14"/>
        </w:rPr>
        <w:t>,” said Lawrence Gostin, faculty director for Georgetown University’s O’Neill Institute for National and Global Health Law. In the event of a new pandemic, he said, “I would expect us to perform worse.”</w:t>
      </w:r>
    </w:p>
    <w:p w:rsidR="001F732A" w:rsidRDefault="00000000">
      <w:r>
        <w:rPr>
          <w:sz w:val="14"/>
          <w:szCs w:val="14"/>
        </w:rPr>
        <w:t>White House spokesperson Kush Desai disputed the idea that US capacities had been diminished. He pointed to US actions in response to the ongoing Ebola outbreak in central Africa, including deploying financial aid and materiel, airlifting American citizens out of the region, and invoking restrictions on travel from there.</w:t>
      </w:r>
    </w:p>
    <w:p w:rsidR="001F732A" w:rsidRDefault="00000000">
      <w:r>
        <w:rPr>
          <w:sz w:val="14"/>
          <w:szCs w:val="14"/>
        </w:rPr>
        <w:t>While acknowledging US contributions to the Ebola response, health experts say that the challenges of containing the outbreak have been exacerbated by Trump administration policies undermining public health efforts abroad, where pandemic threats can emerge.</w:t>
      </w:r>
    </w:p>
    <w:p w:rsidR="001F732A" w:rsidRDefault="00000000">
      <w:r>
        <w:rPr>
          <w:sz w:val="14"/>
          <w:szCs w:val="14"/>
        </w:rPr>
        <w:t>Maintaining a strong public health infrastructure</w:t>
      </w:r>
    </w:p>
    <w:p w:rsidR="001F732A" w:rsidRDefault="00000000">
      <w:r>
        <w:rPr>
          <w:sz w:val="14"/>
          <w:szCs w:val="14"/>
        </w:rPr>
        <w:t xml:space="preserve">In the wake of the Covid-19 outbreak, during the administration of then-President Joe Biden, the White House Office of Pandemic Preparedness and Response Policy (OPPR) </w:t>
      </w:r>
      <w:proofErr w:type="gramStart"/>
      <w:r>
        <w:rPr>
          <w:sz w:val="14"/>
          <w:szCs w:val="14"/>
        </w:rPr>
        <w:t>was</w:t>
      </w:r>
      <w:proofErr w:type="gramEnd"/>
      <w:r>
        <w:rPr>
          <w:sz w:val="14"/>
          <w:szCs w:val="14"/>
        </w:rPr>
        <w:t xml:space="preserve"> created in mid-2023 to lead and coordinate efforts. In addition, the National Security Council’s biosecurity directorate, which had been dissolved during Trump’s first term, was reestablished and charged with monitoring biological threats for the White House.</w:t>
      </w:r>
    </w:p>
    <w:p w:rsidR="001F732A" w:rsidRDefault="00000000">
      <w:r>
        <w:rPr>
          <w:sz w:val="14"/>
          <w:szCs w:val="14"/>
        </w:rPr>
        <w:t>The second Trump administration has neutered the OPPR by leaving it vacant. The same goes for the NSC’s biosecurity directorate, whose last director, Gerald Parker, resigned in mid-2025. As a result, there is no longer a designated team coordinating readiness for and responses to pandemics among US government agencies or monitoring such threats for the White House.</w:t>
      </w:r>
    </w:p>
    <w:p w:rsidR="001F732A" w:rsidRDefault="00000000">
      <w:r>
        <w:rPr>
          <w:rStyle w:val="StyleUnderline"/>
          <w:highlight w:val="yellow"/>
        </w:rPr>
        <w:t>The administration has weakened the</w:t>
      </w:r>
      <w:r>
        <w:rPr>
          <w:rStyle w:val="StyleUnderline"/>
        </w:rPr>
        <w:t xml:space="preserve"> US </w:t>
      </w:r>
      <w:r>
        <w:rPr>
          <w:rStyle w:val="StyleUnderline"/>
          <w:highlight w:val="yellow"/>
        </w:rPr>
        <w:t>Centers for Disease Control and Prevention, which</w:t>
      </w:r>
      <w:r>
        <w:rPr>
          <w:rStyle w:val="StyleUnderline"/>
        </w:rPr>
        <w:t xml:space="preserve"> has a global presence and</w:t>
      </w:r>
      <w:r>
        <w:rPr>
          <w:rStyle w:val="StyleUnderline"/>
          <w:sz w:val="14"/>
          <w:szCs w:val="14"/>
        </w:rPr>
        <w:t xml:space="preserve"> </w:t>
      </w:r>
      <w:r>
        <w:rPr>
          <w:rStyle w:val="StyleUnderline"/>
          <w:highlight w:val="yellow"/>
        </w:rPr>
        <w:t>is charged with</w:t>
      </w:r>
      <w:r>
        <w:rPr>
          <w:rStyle w:val="StyleUnderline"/>
        </w:rPr>
        <w:t xml:space="preserve"> doing the actual work of </w:t>
      </w:r>
      <w:r>
        <w:rPr>
          <w:rStyle w:val="StyleUnderline"/>
          <w:highlight w:val="yellow"/>
        </w:rPr>
        <w:t>tracking emerging disease threats worldwide.</w:t>
      </w:r>
      <w:r>
        <w:rPr>
          <w:rStyle w:val="StyleUnderline"/>
        </w:rPr>
        <w:t xml:space="preserve"> It’s also responsible for issuing guidance on such matters as vaccination and infection-control practices</w:t>
      </w:r>
      <w:r>
        <w:rPr>
          <w:sz w:val="14"/>
          <w:szCs w:val="14"/>
        </w:rPr>
        <w:t>, as well as coordinating communication between state and local health departments.</w:t>
      </w:r>
    </w:p>
    <w:p w:rsidR="001F732A" w:rsidRDefault="00000000">
      <w:r>
        <w:rPr>
          <w:rStyle w:val="StyleUnderline"/>
          <w:highlight w:val="yellow"/>
        </w:rPr>
        <w:t>The CDC’s been hard-hit by the Trump administration’s drive to shrink</w:t>
      </w:r>
      <w:r>
        <w:rPr>
          <w:rStyle w:val="StyleUnderline"/>
        </w:rPr>
        <w:t xml:space="preserve"> the federal government’s </w:t>
      </w:r>
      <w:r>
        <w:rPr>
          <w:rStyle w:val="StyleUnderline"/>
          <w:highlight w:val="yellow"/>
        </w:rPr>
        <w:t>payroll</w:t>
      </w:r>
      <w:r>
        <w:rPr>
          <w:sz w:val="14"/>
          <w:szCs w:val="14"/>
        </w:rPr>
        <w:t xml:space="preserve">. Through layoffs and voluntary departures, </w:t>
      </w:r>
      <w:r>
        <w:rPr>
          <w:rStyle w:val="StyleUnderline"/>
          <w:highlight w:val="yellow"/>
        </w:rPr>
        <w:t>the agency has lost</w:t>
      </w:r>
      <w:r>
        <w:rPr>
          <w:rStyle w:val="StyleUnderline"/>
        </w:rPr>
        <w:t xml:space="preserve"> some </w:t>
      </w:r>
      <w:r>
        <w:rPr>
          <w:rStyle w:val="StyleUnderline"/>
          <w:highlight w:val="yellow"/>
        </w:rPr>
        <w:t>3,000 people</w:t>
      </w:r>
      <w:r>
        <w:rPr>
          <w:rStyle w:val="StyleUnderline"/>
          <w:sz w:val="14"/>
          <w:szCs w:val="14"/>
        </w:rPr>
        <w:t>,</w:t>
      </w:r>
      <w:r>
        <w:rPr>
          <w:sz w:val="14"/>
          <w:szCs w:val="14"/>
        </w:rPr>
        <w:t xml:space="preserve"> about a quarter of its staff, </w:t>
      </w:r>
      <w:r>
        <w:rPr>
          <w:rStyle w:val="StyleUnderline"/>
        </w:rPr>
        <w:t>including many long-tenured scientists</w:t>
      </w:r>
      <w:r>
        <w:rPr>
          <w:rStyle w:val="StyleUnderline"/>
          <w:sz w:val="14"/>
          <w:szCs w:val="14"/>
        </w:rPr>
        <w:t>,</w:t>
      </w:r>
      <w:r>
        <w:rPr>
          <w:sz w:val="14"/>
          <w:szCs w:val="14"/>
        </w:rPr>
        <w:t xml:space="preserve"> according to the union representing current employees in Atlanta, the CDC’s headquarters.</w:t>
      </w:r>
    </w:p>
    <w:sectPr w:rsidR="001F732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5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39631971616"/>
  </w:docVars>
  <w:rsids>
    <w:rsidRoot w:val="001F732A"/>
    <w:rsid w:val="001F732A"/>
    <w:rsid w:val="00847E90"/>
    <w:rsid w:val="00C27D78"/>
    <w:rsid w:val="00DF1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66A8AD24-3417-0E40-8FAE-E046B6C6C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47E90"/>
    <w:rPr>
      <w:rFonts w:ascii="Calibri" w:eastAsiaTheme="minorHAnsi" w:hAnsi="Calibri" w:cs="Calibri"/>
    </w:rPr>
  </w:style>
  <w:style w:type="paragraph" w:styleId="Heading1">
    <w:name w:val="heading 1"/>
    <w:aliases w:val="Pocket"/>
    <w:basedOn w:val="Normal"/>
    <w:next w:val="Normal"/>
    <w:link w:val="Heading1Char"/>
    <w:qFormat/>
    <w:rsid w:val="00847E90"/>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47E9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847E90"/>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847E90"/>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47E9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847E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47E90"/>
  </w:style>
  <w:style w:type="character" w:customStyle="1" w:styleId="Heading1Char">
    <w:name w:val="Heading 1 Char"/>
    <w:aliases w:val="Pocket Char"/>
    <w:basedOn w:val="DefaultParagraphFont"/>
    <w:link w:val="Heading1"/>
    <w:rsid w:val="00847E90"/>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47E90"/>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847E90"/>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847E90"/>
    <w:rPr>
      <w:rFonts w:ascii="Calibri" w:eastAsiaTheme="majorEastAsia" w:hAnsi="Calibri" w:cstheme="majorBidi"/>
      <w:b/>
      <w:iCs/>
      <w:sz w:val="26"/>
    </w:rPr>
  </w:style>
  <w:style w:type="character" w:styleId="Emphasis">
    <w:name w:val="Emphasis"/>
    <w:basedOn w:val="DefaultParagraphFont"/>
    <w:uiPriority w:val="8"/>
    <w:qFormat/>
    <w:rsid w:val="00847E90"/>
    <w:rPr>
      <w:rFonts w:ascii="Calibri" w:hAnsi="Calibri" w:cs="Calibri"/>
      <w:b/>
      <w:i w:val="0"/>
      <w:iCs/>
      <w:sz w:val="22"/>
      <w:u w:val="single"/>
      <w:bdr w:val="none" w:sz="0" w:space="0" w:color="auto"/>
    </w:rPr>
  </w:style>
  <w:style w:type="character" w:customStyle="1" w:styleId="Style13ptBold">
    <w:name w:val="Style 13 pt Bold"/>
    <w:aliases w:val="Cite"/>
    <w:basedOn w:val="DefaultParagraphFont"/>
    <w:uiPriority w:val="6"/>
    <w:qFormat/>
    <w:rsid w:val="00847E90"/>
    <w:rPr>
      <w:b/>
      <w:bCs/>
      <w:sz w:val="26"/>
      <w:u w:val="none"/>
    </w:rPr>
  </w:style>
  <w:style w:type="character" w:customStyle="1" w:styleId="StyleUnderline">
    <w:name w:val="Style Underline"/>
    <w:aliases w:val="Underline"/>
    <w:basedOn w:val="DefaultParagraphFont"/>
    <w:uiPriority w:val="7"/>
    <w:qFormat/>
    <w:rsid w:val="00847E90"/>
    <w:rPr>
      <w:b w:val="0"/>
      <w:sz w:val="22"/>
      <w:u w:val="single"/>
    </w:rPr>
  </w:style>
  <w:style w:type="paragraph" w:customStyle="1" w:styleId="Undertag">
    <w:name w:val="Undertag"/>
    <w:basedOn w:val="Normal"/>
    <w:link w:val="UndertagChar"/>
    <w:autoRedefine/>
    <w:uiPriority w:val="5"/>
    <w:qFormat/>
    <w:pPr>
      <w:spacing w:after="0"/>
    </w:pPr>
    <w:rPr>
      <w:rFonts w:ascii="Times New Roman" w:eastAsiaTheme="majorEastAsia" w:hAnsi="Times New Roman" w:cstheme="majorBidi"/>
      <w:i/>
      <w:iCs/>
      <w:color w:val="385623" w:themeColor="accent6" w:themeShade="80"/>
      <w:sz w:val="24"/>
    </w:rPr>
  </w:style>
  <w:style w:type="character" w:customStyle="1" w:styleId="UndertagChar">
    <w:name w:val="Undertag Char"/>
    <w:basedOn w:val="DefaultParagraphFont"/>
    <w:link w:val="Undertag"/>
    <w:uiPriority w:val="5"/>
    <w:rPr>
      <w:rFonts w:ascii="Times New Roman" w:eastAsiaTheme="majorEastAsia" w:hAnsi="Times New Roman" w:cstheme="majorBidi"/>
      <w:i/>
      <w:iCs/>
      <w:color w:val="385623" w:themeColor="accent6" w:themeShade="80"/>
      <w:sz w:val="24"/>
    </w:rPr>
  </w:style>
  <w:style w:type="paragraph" w:customStyle="1" w:styleId="Analytic">
    <w:name w:val="Analytic"/>
    <w:basedOn w:val="Heading4"/>
    <w:link w:val="AnalyticChar"/>
    <w:autoRedefine/>
    <w:uiPriority w:val="5"/>
    <w:qFormat/>
    <w:rPr>
      <w:color w:val="1F3864" w:themeColor="accent1" w:themeShade="80"/>
    </w:rPr>
  </w:style>
  <w:style w:type="character" w:customStyle="1" w:styleId="AnalyticChar">
    <w:name w:val="Analytic Char"/>
    <w:basedOn w:val="DefaultParagraphFont"/>
    <w:link w:val="Analytic"/>
    <w:uiPriority w:val="5"/>
    <w:rPr>
      <w:rFonts w:ascii="Times New Roman" w:eastAsiaTheme="majorEastAsia" w:hAnsi="Times New Roman" w:cstheme="majorBidi"/>
      <w:b/>
      <w:iCs/>
      <w:color w:val="1F3864" w:themeColor="accent1" w:themeShade="80"/>
      <w:sz w:val="26"/>
    </w:rPr>
  </w:style>
  <w:style w:type="character" w:customStyle="1" w:styleId="Heading5Char">
    <w:name w:val="Heading 5 Char"/>
    <w:basedOn w:val="DefaultParagraphFont"/>
    <w:link w:val="Heading5"/>
    <w:uiPriority w:val="9"/>
    <w:semiHidden/>
    <w:rsid w:val="00847E90"/>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847E90"/>
    <w:rPr>
      <w:color w:val="auto"/>
      <w:u w:val="none"/>
    </w:rPr>
  </w:style>
  <w:style w:type="character" w:styleId="Strong">
    <w:name w:val="Strong"/>
    <w:basedOn w:val="DefaultParagraphFont"/>
    <w:uiPriority w:val="22"/>
    <w:qFormat/>
    <w:rsid w:val="00847E90"/>
    <w:rPr>
      <w:b/>
      <w:bCs/>
    </w:rPr>
  </w:style>
  <w:style w:type="character" w:styleId="BookTitle">
    <w:name w:val="Book Title"/>
    <w:basedOn w:val="DefaultParagraphFont"/>
    <w:uiPriority w:val="33"/>
    <w:qFormat/>
    <w:rsid w:val="00847E90"/>
    <w:rPr>
      <w:b/>
      <w:bCs/>
      <w:i/>
      <w:iCs/>
      <w:spacing w:val="5"/>
    </w:rPr>
  </w:style>
  <w:style w:type="numbering" w:styleId="111111">
    <w:name w:val="Outline List 2"/>
    <w:basedOn w:val="NoList"/>
    <w:uiPriority w:val="99"/>
    <w:semiHidden/>
    <w:unhideWhenUsed/>
    <w:rsid w:val="00847E90"/>
  </w:style>
  <w:style w:type="paragraph" w:styleId="Header">
    <w:name w:val="header"/>
    <w:basedOn w:val="Normal"/>
    <w:link w:val="HeaderChar"/>
    <w:uiPriority w:val="99"/>
    <w:semiHidden/>
    <w:rsid w:val="00847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7E90"/>
    <w:rPr>
      <w:rFonts w:ascii="Calibri" w:eastAsiaTheme="minorHAnsi" w:hAnsi="Calibri" w:cs="Calibri"/>
    </w:rPr>
  </w:style>
  <w:style w:type="paragraph" w:styleId="Footer">
    <w:name w:val="footer"/>
    <w:basedOn w:val="Normal"/>
    <w:link w:val="FooterChar"/>
    <w:uiPriority w:val="99"/>
    <w:semiHidden/>
    <w:rsid w:val="00847E9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47E90"/>
    <w:rPr>
      <w:rFonts w:ascii="Calibri" w:eastAsiaTheme="minorHAnsi" w:hAnsi="Calibri" w:cs="Calibri"/>
    </w:rPr>
  </w:style>
  <w:style w:type="paragraph" w:styleId="BodyText">
    <w:name w:val="Body Text"/>
    <w:basedOn w:val="Normal"/>
    <w:link w:val="BodyTextChar"/>
    <w:uiPriority w:val="99"/>
    <w:semiHidden/>
    <w:unhideWhenUsed/>
    <w:rsid w:val="00847E90"/>
    <w:pPr>
      <w:spacing w:after="120"/>
    </w:pPr>
  </w:style>
  <w:style w:type="character" w:customStyle="1" w:styleId="BodyTextChar">
    <w:name w:val="Body Text Char"/>
    <w:basedOn w:val="DefaultParagraphFont"/>
    <w:link w:val="BodyText"/>
    <w:uiPriority w:val="99"/>
    <w:semiHidden/>
    <w:rsid w:val="00847E90"/>
    <w:rPr>
      <w:rFonts w:ascii="Calibri" w:eastAsiaTheme="minorHAnsi" w:hAnsi="Calibri" w:cs="Calibri"/>
    </w:rPr>
  </w:style>
  <w:style w:type="paragraph" w:styleId="NoSpacing">
    <w:name w:val="No Spacing"/>
    <w:link w:val="NoSpacingChar"/>
    <w:uiPriority w:val="99"/>
    <w:unhideWhenUsed/>
    <w:qFormat/>
    <w:rsid w:val="00847E90"/>
    <w:pPr>
      <w:spacing w:after="0" w:line="240" w:lineRule="auto"/>
    </w:pPr>
    <w:rPr>
      <w:rFonts w:ascii="Calibri" w:eastAsiaTheme="minorHAnsi" w:hAnsi="Calibri" w:cs="Calibri"/>
    </w:rPr>
  </w:style>
  <w:style w:type="character" w:customStyle="1" w:styleId="NoSpacingChar">
    <w:name w:val="No Spacing Char"/>
    <w:basedOn w:val="DefaultParagraphFont"/>
    <w:link w:val="NoSpacing"/>
    <w:uiPriority w:val="99"/>
    <w:rsid w:val="00847E90"/>
    <w:rPr>
      <w:rFonts w:ascii="Calibri" w:eastAsiaTheme="minorHAnsi" w:hAnsi="Calibri" w:cs="Calibri"/>
    </w:rPr>
  </w:style>
  <w:style w:type="character" w:styleId="Hyperlink">
    <w:name w:val="Hyperlink"/>
    <w:basedOn w:val="DefaultParagraphFont"/>
    <w:uiPriority w:val="99"/>
    <w:unhideWhenUsed/>
    <w:rsid w:val="00847E90"/>
    <w:rPr>
      <w:color w:val="0563C1" w:themeColor="hyperlink"/>
      <w:u w:val="single"/>
    </w:rPr>
  </w:style>
  <w:style w:type="character" w:styleId="UnresolvedMention">
    <w:name w:val="Unresolved Mention"/>
    <w:basedOn w:val="DefaultParagraphFont"/>
    <w:uiPriority w:val="99"/>
    <w:semiHidden/>
    <w:unhideWhenUsed/>
    <w:rsid w:val="00847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edpagetoday.com/special-reports/features/120025" TargetMode="External"/><Relationship Id="rId3" Type="http://schemas.openxmlformats.org/officeDocument/2006/relationships/settings" Target="settings.xml"/><Relationship Id="rId7" Type="http://schemas.openxmlformats.org/officeDocument/2006/relationships/hyperlink" Target="https://www.cato.org/commentary/no-medicare-all-wont-save-mon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ronicleclub.in/storage/uploads/1772214444-foreign-affairs-march-april-2026.pdf" TargetMode="External"/><Relationship Id="rId11" Type="http://schemas.openxmlformats.org/officeDocument/2006/relationships/theme" Target="theme/theme1.xml"/><Relationship Id="rId5" Type="http://schemas.openxmlformats.org/officeDocument/2006/relationships/hyperlink" Target="https://www.brookings.edu/wp-content/uploads/2026/03/5_Cutler-Klarnet_unembargoed.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am.gcsp.ch/files/doc/securing-civilisation-against-catastrophic-pandemics-gp-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lesfutrell/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8</TotalTime>
  <Pages>12</Pages>
  <Words>3984</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Futrell, Miles</cp:lastModifiedBy>
  <cp:revision>2</cp:revision>
  <dcterms:created xsi:type="dcterms:W3CDTF">2026-08-25T17:06:00Z</dcterms:created>
  <dcterms:modified xsi:type="dcterms:W3CDTF">2026-08-25T18:34:00Z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mirDocId">
    <vt:lpwstr>20a107d6-0e6a-44d8-8612-21a9560ca9b6</vt:lpwstr>
  </property>
</Properties>
</file>